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617542" w:rsidTr="002E6457">
        <w:trPr>
          <w:trHeight w:val="295"/>
        </w:trPr>
        <w:tc>
          <w:tcPr>
            <w:tcW w:w="280" w:type="dxa"/>
            <w:vAlign w:val="bottom"/>
          </w:tcPr>
          <w:p w:rsidR="00542E8B" w:rsidRPr="00617542" w:rsidRDefault="009C1C6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:rsidTr="002E6457">
        <w:trPr>
          <w:trHeight w:val="260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4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7B5A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Master </w:t>
            </w:r>
          </w:p>
        </w:tc>
      </w:tr>
      <w:tr w:rsidR="00542E8B" w:rsidRPr="00617542" w:rsidTr="002E6457">
        <w:trPr>
          <w:trHeight w:val="238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C90882" w:rsidP="0078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830E01">
              <w:rPr>
                <w:rFonts w:cs="Calibri"/>
                <w:b/>
                <w:bCs/>
                <w:sz w:val="20"/>
                <w:szCs w:val="20"/>
                <w:lang w:val="ro-RO"/>
              </w:rPr>
              <w:t>ANTROPOLOGIE, DEZVOLTARE COMUNITARA SI REGIONALA</w:t>
            </w:r>
            <w:bookmarkStart w:id="1" w:name="_GoBack"/>
            <w:bookmarkEnd w:id="1"/>
          </w:p>
        </w:tc>
      </w:tr>
      <w:tr w:rsidR="00542E8B" w:rsidRPr="0061754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:rsidTr="002E6457">
        <w:trPr>
          <w:trHeight w:val="300"/>
        </w:trPr>
        <w:tc>
          <w:tcPr>
            <w:tcW w:w="281" w:type="dxa"/>
            <w:vAlign w:val="bottom"/>
          </w:tcPr>
          <w:p w:rsidR="002E6457" w:rsidRPr="00617542" w:rsidRDefault="009C1C6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7B5A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RASĂ ȘI ETNICITATE: PERSPECTIVE CRITICE</w:t>
            </w:r>
          </w:p>
        </w:tc>
      </w:tr>
      <w:tr w:rsidR="002E6457" w:rsidRPr="00617542" w:rsidTr="002E6457">
        <w:trPr>
          <w:trHeight w:val="261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7B5A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NICOLETA CÂMPEANU</w:t>
            </w:r>
          </w:p>
        </w:tc>
      </w:tr>
      <w:tr w:rsidR="002E6457" w:rsidRPr="00617542" w:rsidTr="002E6457">
        <w:trPr>
          <w:trHeight w:val="266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7B5A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NICOLETA CÂMPEANU</w:t>
            </w:r>
          </w:p>
        </w:tc>
      </w:tr>
      <w:tr w:rsidR="00542E8B" w:rsidRPr="00617542" w:rsidTr="00042C3F">
        <w:trPr>
          <w:trHeight w:val="238"/>
        </w:trPr>
        <w:tc>
          <w:tcPr>
            <w:tcW w:w="281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7B5A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7B5A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4C7C18" w:rsidRDefault="009C1C64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C7C18"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971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 w:rsidRPr="004C7C18"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961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r w:rsidR="00542E8B" w:rsidRPr="004C7C18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4C7C18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4C7C18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4C7C18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4C7C18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4C7C18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4C7C18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4C7C18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4C7C18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4C7C18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4C7C18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4C7C18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9C1C6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4C7C18"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 w:rsidRPr="004C7C18"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D85646" w:rsidRPr="004C7C18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4C7C18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4C7C18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4C7C18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4C7C18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7852F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7C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4C7C18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4C7C18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7C18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7852F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4C7C18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7C18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7852F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4C7C18">
              <w:rPr>
                <w:sz w:val="20"/>
                <w:szCs w:val="20"/>
              </w:rPr>
              <w:t>0</w:t>
            </w:r>
          </w:p>
        </w:tc>
      </w:tr>
      <w:tr w:rsidR="00D85646" w:rsidRPr="004C7C18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4C7C18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4C7C18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7852F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4C7C18">
              <w:rPr>
                <w:sz w:val="20"/>
                <w:szCs w:val="20"/>
              </w:rPr>
              <w:t>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7C18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7852F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4C7C18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7C18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7852F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4C7C18">
              <w:rPr>
                <w:sz w:val="20"/>
                <w:szCs w:val="20"/>
              </w:rPr>
              <w:t>0</w:t>
            </w:r>
          </w:p>
        </w:tc>
      </w:tr>
      <w:tr w:rsidR="00D85646" w:rsidRPr="004C7C18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4C7C18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4C7C18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7C18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7852F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4C7C18">
              <w:rPr>
                <w:sz w:val="20"/>
                <w:szCs w:val="20"/>
              </w:rPr>
              <w:t>30</w:t>
            </w:r>
          </w:p>
        </w:tc>
      </w:tr>
      <w:tr w:rsidR="00D85646" w:rsidRPr="004C7C18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4C7C18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7852F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4C7C18">
              <w:rPr>
                <w:sz w:val="20"/>
                <w:szCs w:val="20"/>
              </w:rPr>
              <w:t>30</w:t>
            </w:r>
          </w:p>
        </w:tc>
      </w:tr>
      <w:tr w:rsidR="00D85646" w:rsidRPr="004C7C18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7C18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7852F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4C7C18">
              <w:rPr>
                <w:sz w:val="20"/>
                <w:szCs w:val="20"/>
              </w:rPr>
              <w:t>30</w:t>
            </w:r>
          </w:p>
        </w:tc>
      </w:tr>
      <w:tr w:rsidR="00D85646" w:rsidRPr="004C7C18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7C18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7852F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4C7C18">
              <w:rPr>
                <w:sz w:val="20"/>
                <w:szCs w:val="20"/>
              </w:rPr>
              <w:t>17</w:t>
            </w:r>
          </w:p>
        </w:tc>
      </w:tr>
      <w:tr w:rsidR="00D85646" w:rsidRPr="004C7C18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7C18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7852F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4C7C18">
              <w:rPr>
                <w:sz w:val="20"/>
                <w:szCs w:val="20"/>
              </w:rPr>
              <w:t>4</w:t>
            </w:r>
          </w:p>
        </w:tc>
      </w:tr>
      <w:tr w:rsidR="00D85646" w:rsidRPr="004C7C18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7C18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D85646" w:rsidRPr="004C7C18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7C18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7852F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4C7C18">
              <w:rPr>
                <w:sz w:val="20"/>
                <w:szCs w:val="20"/>
              </w:rPr>
              <w:t>111</w:t>
            </w:r>
          </w:p>
        </w:tc>
      </w:tr>
      <w:tr w:rsidR="00D85646" w:rsidRPr="004C7C18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7C18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7852F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4C7C18">
              <w:rPr>
                <w:sz w:val="20"/>
                <w:szCs w:val="20"/>
              </w:rPr>
              <w:t>125</w:t>
            </w:r>
          </w:p>
        </w:tc>
      </w:tr>
      <w:tr w:rsidR="00D85646" w:rsidRPr="00617542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4C7C18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4C7C18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4C7C18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4C7C1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7852F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4C7C18">
              <w:rPr>
                <w:sz w:val="20"/>
                <w:szCs w:val="20"/>
              </w:rPr>
              <w:t>5</w:t>
            </w:r>
          </w:p>
        </w:tc>
      </w:tr>
      <w:tr w:rsidR="002E6457" w:rsidRPr="00617542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617542" w:rsidRDefault="007B5A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4.Precondiţii (</w:t>
            </w:r>
            <w:proofErr w:type="spellStart"/>
            <w:r w:rsidRPr="00617542">
              <w:rPr>
                <w:rFonts w:cs="Calibri"/>
                <w:b/>
                <w:bCs/>
                <w:sz w:val="20"/>
                <w:szCs w:val="20"/>
              </w:rPr>
              <w:t>acolo</w:t>
            </w:r>
            <w:proofErr w:type="spellEnd"/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b/>
                <w:bCs/>
                <w:sz w:val="20"/>
                <w:szCs w:val="20"/>
              </w:rPr>
              <w:t>unde</w:t>
            </w:r>
            <w:proofErr w:type="spellEnd"/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b/>
                <w:bCs/>
                <w:sz w:val="20"/>
                <w:szCs w:val="20"/>
              </w:rPr>
              <w:t>este</w:t>
            </w:r>
            <w:proofErr w:type="spellEnd"/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b/>
                <w:bCs/>
                <w:sz w:val="20"/>
                <w:szCs w:val="20"/>
              </w:rPr>
              <w:t>cazul</w:t>
            </w:r>
            <w:proofErr w:type="spellEnd"/>
            <w:r w:rsidRPr="00617542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</w:tr>
      <w:tr w:rsidR="004F2030" w:rsidRPr="00617542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  <w:r w:rsidR="00D61BF2">
              <w:rPr>
                <w:sz w:val="20"/>
                <w:szCs w:val="20"/>
              </w:rPr>
              <w:t xml:space="preserve"> </w:t>
            </w:r>
            <w:proofErr w:type="spellStart"/>
            <w:r w:rsidR="00D61BF2">
              <w:rPr>
                <w:sz w:val="20"/>
                <w:szCs w:val="20"/>
              </w:rPr>
              <w:t>Familiaritate</w:t>
            </w:r>
            <w:proofErr w:type="spellEnd"/>
            <w:r w:rsidR="00D61BF2">
              <w:rPr>
                <w:sz w:val="20"/>
                <w:szCs w:val="20"/>
              </w:rPr>
              <w:t xml:space="preserve"> cu </w:t>
            </w:r>
            <w:proofErr w:type="spellStart"/>
            <w:r w:rsidR="00D61BF2">
              <w:rPr>
                <w:sz w:val="20"/>
                <w:szCs w:val="20"/>
              </w:rPr>
              <w:t>conceptele</w:t>
            </w:r>
            <w:proofErr w:type="spellEnd"/>
            <w:r w:rsidR="00D61BF2">
              <w:rPr>
                <w:sz w:val="20"/>
                <w:szCs w:val="20"/>
              </w:rPr>
              <w:t xml:space="preserve"> </w:t>
            </w:r>
            <w:proofErr w:type="spellStart"/>
            <w:r w:rsidR="00D61BF2">
              <w:rPr>
                <w:sz w:val="20"/>
                <w:szCs w:val="20"/>
              </w:rPr>
              <w:t>și</w:t>
            </w:r>
            <w:proofErr w:type="spellEnd"/>
            <w:r w:rsidR="00D61BF2">
              <w:rPr>
                <w:sz w:val="20"/>
                <w:szCs w:val="20"/>
              </w:rPr>
              <w:t xml:space="preserve"> </w:t>
            </w:r>
            <w:proofErr w:type="spellStart"/>
            <w:r w:rsidR="00D61BF2">
              <w:rPr>
                <w:sz w:val="20"/>
                <w:szCs w:val="20"/>
              </w:rPr>
              <w:t>teoriile</w:t>
            </w:r>
            <w:proofErr w:type="spellEnd"/>
            <w:r w:rsidR="00D61BF2">
              <w:rPr>
                <w:sz w:val="20"/>
                <w:szCs w:val="20"/>
              </w:rPr>
              <w:t xml:space="preserve"> </w:t>
            </w:r>
            <w:proofErr w:type="spellStart"/>
            <w:r w:rsidR="00D61BF2">
              <w:rPr>
                <w:sz w:val="20"/>
                <w:szCs w:val="20"/>
              </w:rPr>
              <w:t>specifice</w:t>
            </w:r>
            <w:proofErr w:type="spellEnd"/>
            <w:r w:rsidR="00D61BF2">
              <w:rPr>
                <w:sz w:val="20"/>
                <w:szCs w:val="20"/>
              </w:rPr>
              <w:t xml:space="preserve"> </w:t>
            </w:r>
            <w:proofErr w:type="spellStart"/>
            <w:r w:rsidR="00D61BF2">
              <w:rPr>
                <w:sz w:val="20"/>
                <w:szCs w:val="20"/>
              </w:rPr>
              <w:t>sociologiei</w:t>
            </w:r>
            <w:proofErr w:type="spellEnd"/>
            <w:r w:rsidR="00D61BF2">
              <w:rPr>
                <w:sz w:val="20"/>
                <w:szCs w:val="20"/>
              </w:rPr>
              <w:t xml:space="preserve"> </w:t>
            </w:r>
            <w:proofErr w:type="spellStart"/>
            <w:r w:rsidR="00D61BF2">
              <w:rPr>
                <w:sz w:val="20"/>
                <w:szCs w:val="20"/>
              </w:rPr>
              <w:t>și</w:t>
            </w:r>
            <w:proofErr w:type="spellEnd"/>
            <w:r w:rsidR="00D61BF2">
              <w:rPr>
                <w:sz w:val="20"/>
                <w:szCs w:val="20"/>
              </w:rPr>
              <w:t xml:space="preserve"> </w:t>
            </w:r>
            <w:proofErr w:type="spellStart"/>
            <w:r w:rsidR="00D61BF2">
              <w:rPr>
                <w:sz w:val="20"/>
                <w:szCs w:val="20"/>
              </w:rPr>
              <w:t>antropologiei</w:t>
            </w:r>
            <w:proofErr w:type="spellEnd"/>
          </w:p>
          <w:p w:rsidR="00D61BF2" w:rsidRPr="00617542" w:rsidRDefault="00D61BF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Familiaritate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metodologia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antropologiei</w:t>
            </w:r>
            <w:proofErr w:type="spellEnd"/>
          </w:p>
        </w:tc>
      </w:tr>
      <w:tr w:rsidR="004F2030" w:rsidRPr="00617542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617542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FF572D" w:rsidRDefault="00D61BF2" w:rsidP="00FF5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Cursul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FF572D">
              <w:rPr>
                <w:sz w:val="20"/>
                <w:szCs w:val="20"/>
              </w:rPr>
              <w:t>urmează</w:t>
            </w:r>
            <w:proofErr w:type="spellEnd"/>
            <w:r w:rsidR="00FF572D">
              <w:rPr>
                <w:sz w:val="20"/>
                <w:szCs w:val="20"/>
              </w:rPr>
              <w:t xml:space="preserve"> o </w:t>
            </w:r>
            <w:proofErr w:type="spellStart"/>
            <w:r w:rsidR="00FF572D">
              <w:rPr>
                <w:sz w:val="20"/>
                <w:szCs w:val="20"/>
              </w:rPr>
              <w:t>formă</w:t>
            </w:r>
            <w:proofErr w:type="spellEnd"/>
            <w:r w:rsidR="00FF572D">
              <w:rPr>
                <w:sz w:val="20"/>
                <w:szCs w:val="20"/>
              </w:rPr>
              <w:t xml:space="preserve"> </w:t>
            </w:r>
            <w:proofErr w:type="spellStart"/>
            <w:r w:rsidR="00FF572D">
              <w:rPr>
                <w:sz w:val="20"/>
                <w:szCs w:val="20"/>
              </w:rPr>
              <w:t>duală</w:t>
            </w:r>
            <w:proofErr w:type="spellEnd"/>
            <w:r w:rsidR="00FF572D">
              <w:rPr>
                <w:sz w:val="20"/>
                <w:szCs w:val="20"/>
              </w:rPr>
              <w:t>:</w:t>
            </w:r>
          </w:p>
          <w:p w:rsidR="00FF572D" w:rsidRDefault="00FF572D" w:rsidP="00FF5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proofErr w:type="spellStart"/>
            <w:r>
              <w:rPr>
                <w:sz w:val="20"/>
                <w:szCs w:val="20"/>
              </w:rPr>
              <w:t>prelegeri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susținute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didactic, </w:t>
            </w:r>
            <w:proofErr w:type="spellStart"/>
            <w:r>
              <w:rPr>
                <w:sz w:val="20"/>
                <w:szCs w:val="20"/>
              </w:rPr>
              <w:t>menite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introducă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concepte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texte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referință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cercetările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antropologice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referitoare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rasă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etnicitate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4F2030" w:rsidRDefault="00FF572D" w:rsidP="00FF5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proofErr w:type="spellStart"/>
            <w:proofErr w:type="gramStart"/>
            <w:r>
              <w:rPr>
                <w:sz w:val="20"/>
                <w:szCs w:val="20"/>
              </w:rPr>
              <w:t>seminarii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grupuri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discuție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construite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textelor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studenților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precum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textelor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sugerate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aceștia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cazul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obligatorie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participarea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studenților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prezentări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reacții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discuții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F572D" w:rsidRDefault="00FF572D" w:rsidP="00FF57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572D" w:rsidRPr="00617542" w:rsidRDefault="00FF572D" w:rsidP="00FF5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începutul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cursului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studenților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înmânează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programă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amănunțită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cursului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conține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descriere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cursului</w:t>
            </w:r>
            <w:proofErr w:type="spellEnd"/>
            <w:r>
              <w:rPr>
                <w:sz w:val="20"/>
                <w:szCs w:val="20"/>
              </w:rPr>
              <w:t xml:space="preserve">, un calendar al </w:t>
            </w:r>
            <w:proofErr w:type="spellStart"/>
            <w:r>
              <w:rPr>
                <w:sz w:val="20"/>
                <w:szCs w:val="20"/>
              </w:rPr>
              <w:t>temelor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abordate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bibliografia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obligatorie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suplimentară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precum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cerințele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modalitatea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lastRenderedPageBreak/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E77EF5" w:rsidRPr="00617542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E77EF5" w:rsidRPr="00617542" w:rsidTr="00A056A7">
        <w:trPr>
          <w:trHeight w:hRule="exact" w:val="1872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E77EF5" w:rsidRPr="00A056A7" w:rsidRDefault="00A056A7" w:rsidP="00A056A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 w:rsidRPr="00A056A7">
              <w:rPr>
                <w:sz w:val="20"/>
                <w:szCs w:val="20"/>
              </w:rPr>
              <w:t>Cunoașterea conceptelor și abordărilor teoretice specifice antropologiei rasei și a etnicității, precum și a principalelor dezbateri contemporane din acest domeniu</w:t>
            </w:r>
          </w:p>
          <w:p w:rsidR="00A056A7" w:rsidRPr="00A056A7" w:rsidRDefault="00A056A7" w:rsidP="00A056A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 w:rsidRPr="00A056A7">
              <w:rPr>
                <w:sz w:val="20"/>
                <w:szCs w:val="20"/>
              </w:rPr>
              <w:t>Capacitatea de a aborda critic și responsabil teme legate de rasă și etnicitate în munca academică și profesională</w:t>
            </w:r>
          </w:p>
          <w:p w:rsidR="00A056A7" w:rsidRPr="00A056A7" w:rsidRDefault="00A056A7" w:rsidP="00A056A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 w:rsidRPr="00A056A7">
              <w:rPr>
                <w:sz w:val="20"/>
                <w:szCs w:val="20"/>
              </w:rPr>
              <w:t>Capacitatea de a aplica conceptele și cunoștințele dobândite prin realizarea de studii de caz și de proiecte de cercetare independente</w:t>
            </w:r>
          </w:p>
          <w:p w:rsidR="00A056A7" w:rsidRPr="00A056A7" w:rsidRDefault="00A056A7" w:rsidP="00A056A7">
            <w:pPr>
              <w:pStyle w:val="ListParagraph"/>
              <w:spacing w:line="240" w:lineRule="auto"/>
              <w:rPr>
                <w:sz w:val="20"/>
                <w:szCs w:val="20"/>
                <w:highlight w:val="yellow"/>
              </w:rPr>
            </w:pPr>
          </w:p>
          <w:p w:rsidR="00A056A7" w:rsidRPr="00617542" w:rsidRDefault="00A056A7" w:rsidP="0061754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E77EF5" w:rsidRPr="00617542" w:rsidTr="004B1378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E77EF5" w:rsidRPr="00617542" w:rsidRDefault="0070415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Cursul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dezvoltarea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autonomiei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personale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lectura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critica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individuala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programarea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sarcinii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lucru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realizarea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lucrari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individuale</w:t>
            </w:r>
            <w:proofErr w:type="spellEnd"/>
            <w:r>
              <w:rPr>
                <w:sz w:val="20"/>
                <w:szCs w:val="20"/>
              </w:rPr>
              <w:t xml:space="preserve">), a </w:t>
            </w:r>
            <w:proofErr w:type="spellStart"/>
            <w:r>
              <w:rPr>
                <w:sz w:val="20"/>
                <w:szCs w:val="20"/>
              </w:rPr>
              <w:t>comunicarii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grupuri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mici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participarea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discutiile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timpul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seminarului</w:t>
            </w:r>
            <w:proofErr w:type="spellEnd"/>
            <w:r>
              <w:rPr>
                <w:sz w:val="20"/>
                <w:szCs w:val="20"/>
              </w:rPr>
              <w:t xml:space="preserve">), a </w:t>
            </w:r>
            <w:proofErr w:type="spellStart"/>
            <w:r>
              <w:rPr>
                <w:sz w:val="20"/>
                <w:szCs w:val="20"/>
              </w:rPr>
              <w:t>comunicarii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profesionale</w:t>
            </w:r>
            <w:proofErr w:type="spellEnd"/>
            <w:r>
              <w:rPr>
                <w:sz w:val="20"/>
                <w:szCs w:val="20"/>
              </w:rPr>
              <w:t xml:space="preserve">, a </w:t>
            </w:r>
            <w:proofErr w:type="spellStart"/>
            <w:r>
              <w:rPr>
                <w:sz w:val="20"/>
                <w:szCs w:val="20"/>
              </w:rPr>
              <w:t>gandirii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critice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capacitatii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sinteza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704155" w:rsidRPr="00617542" w:rsidRDefault="00704155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617542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EC3344" w:rsidRPr="00EC3344" w:rsidRDefault="00EC3344" w:rsidP="00EC3344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Cursul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abordează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critic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conceptele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de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rasă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și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etnicitate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prin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intermediul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metodelor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și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teoriilor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antropologiei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,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făcând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în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același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timp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apel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și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la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abordări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din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alte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discipline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umaniste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sau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ale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științelor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sociale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(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istorie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,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sociologie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,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studii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de gen,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istorie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,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geografie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umană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).  </w:t>
            </w:r>
          </w:p>
          <w:p w:rsidR="00EC3344" w:rsidRPr="00EC3344" w:rsidRDefault="00EC3344" w:rsidP="00EC3344">
            <w:pPr>
              <w:rPr>
                <w:rFonts w:asciiTheme="minorHAnsi" w:hAnsiTheme="minorHAnsi" w:cs="Microsoft Sans Serif"/>
                <w:sz w:val="20"/>
                <w:szCs w:val="20"/>
              </w:rPr>
            </w:pP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Obiectivul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general al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cursului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este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de </w:t>
            </w:r>
            <w:proofErr w:type="gram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a</w:t>
            </w:r>
            <w:proofErr w:type="gram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ajuta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studenții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să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înțeleagă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dinamicile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sociale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și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culturale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care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produc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,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susțin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și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dau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formă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rasei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și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etnicității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ca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forțe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sociale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și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realități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>cotidiene</w:t>
            </w:r>
            <w:proofErr w:type="spellEnd"/>
            <w:r w:rsidRPr="00EC3344">
              <w:rPr>
                <w:rFonts w:asciiTheme="minorHAnsi" w:hAnsiTheme="minorHAnsi" w:cs="Microsoft Sans Serif"/>
                <w:sz w:val="20"/>
                <w:szCs w:val="20"/>
              </w:rPr>
              <w:t xml:space="preserve">.  </w:t>
            </w:r>
          </w:p>
          <w:p w:rsidR="00EC3344" w:rsidRDefault="00EC3344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C3344" w:rsidRPr="00617542" w:rsidRDefault="00EC3344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4F2030" w:rsidRDefault="004F2030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EC3344" w:rsidRPr="00EC3344" w:rsidRDefault="00EC3344" w:rsidP="00EC3344">
            <w:pPr>
              <w:rPr>
                <w:rFonts w:asciiTheme="minorHAnsi" w:hAnsiTheme="minorHAnsi" w:cs="Microsoft Sans Serif"/>
                <w:b/>
                <w:sz w:val="20"/>
                <w:szCs w:val="20"/>
              </w:rPr>
            </w:pPr>
            <w:proofErr w:type="spellStart"/>
            <w:r w:rsidRPr="00EC3344">
              <w:rPr>
                <w:rFonts w:asciiTheme="minorHAnsi" w:hAnsiTheme="minorHAnsi" w:cs="Microsoft Sans Serif"/>
                <w:b/>
                <w:sz w:val="20"/>
                <w:szCs w:val="20"/>
              </w:rPr>
              <w:t>Obiectivele</w:t>
            </w:r>
            <w:proofErr w:type="spellEnd"/>
            <w:r w:rsidRPr="00EC3344">
              <w:rPr>
                <w:rFonts w:asciiTheme="minorHAnsi" w:hAnsiTheme="minorHAnsi" w:cs="Microsoft Sans Serif"/>
                <w:b/>
                <w:sz w:val="20"/>
                <w:szCs w:val="20"/>
              </w:rPr>
              <w:t xml:space="preserve"> </w:t>
            </w:r>
            <w:proofErr w:type="spellStart"/>
            <w:r w:rsidRPr="00EC3344">
              <w:rPr>
                <w:rFonts w:asciiTheme="minorHAnsi" w:hAnsiTheme="minorHAnsi" w:cs="Microsoft Sans Serif"/>
                <w:b/>
                <w:sz w:val="20"/>
                <w:szCs w:val="20"/>
              </w:rPr>
              <w:t>specifice</w:t>
            </w:r>
            <w:proofErr w:type="spellEnd"/>
            <w:r w:rsidRPr="00EC3344">
              <w:rPr>
                <w:rFonts w:asciiTheme="minorHAnsi" w:hAnsiTheme="minorHAnsi" w:cs="Microsoft Sans Serif"/>
                <w:b/>
                <w:sz w:val="20"/>
                <w:szCs w:val="20"/>
              </w:rPr>
              <w:t xml:space="preserve"> ale </w:t>
            </w:r>
            <w:proofErr w:type="spellStart"/>
            <w:r w:rsidRPr="00EC3344">
              <w:rPr>
                <w:rFonts w:asciiTheme="minorHAnsi" w:hAnsiTheme="minorHAnsi" w:cs="Microsoft Sans Serif"/>
                <w:b/>
                <w:sz w:val="20"/>
                <w:szCs w:val="20"/>
              </w:rPr>
              <w:t>cursului</w:t>
            </w:r>
            <w:proofErr w:type="spellEnd"/>
            <w:r w:rsidRPr="00EC3344">
              <w:rPr>
                <w:rFonts w:asciiTheme="minorHAnsi" w:hAnsiTheme="minorHAnsi" w:cs="Microsoft Sans Serif"/>
                <w:b/>
                <w:sz w:val="20"/>
                <w:szCs w:val="20"/>
              </w:rPr>
              <w:t>:</w:t>
            </w:r>
          </w:p>
          <w:p w:rsidR="00EC3344" w:rsidRPr="006D7100" w:rsidRDefault="00EC3344" w:rsidP="006D7100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D7100">
              <w:rPr>
                <w:rFonts w:asciiTheme="minorHAnsi" w:hAnsiTheme="minorHAnsi"/>
                <w:sz w:val="20"/>
                <w:szCs w:val="20"/>
              </w:rPr>
              <w:t>De a înțelege critic și contextualizat conceptele de rasă și etnicitate, istoria lor și modul în care se intersectează cu alte dimensiuni sociale;</w:t>
            </w:r>
          </w:p>
          <w:p w:rsidR="00EC3344" w:rsidRPr="006D7100" w:rsidRDefault="00EC3344" w:rsidP="006D7100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D7100">
              <w:rPr>
                <w:rFonts w:asciiTheme="minorHAnsi" w:hAnsiTheme="minorHAnsi"/>
                <w:sz w:val="20"/>
                <w:szCs w:val="20"/>
              </w:rPr>
              <w:t>De a înțelege procesele sociale și operațiunile culturale prin care ele se reproduc, se transformă și operează în viața de zi cu zi, atât a noastră cât și a altor oameni din contexte culturale, economice și sociale diferite;</w:t>
            </w:r>
          </w:p>
          <w:p w:rsidR="00EC3344" w:rsidRPr="006D7100" w:rsidRDefault="00EC3344" w:rsidP="006D7100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D7100">
              <w:rPr>
                <w:rFonts w:asciiTheme="minorHAnsi" w:hAnsiTheme="minorHAnsi"/>
                <w:sz w:val="20"/>
                <w:szCs w:val="20"/>
              </w:rPr>
              <w:t>De a înțelege cum putem folosi analiza culturală și cercetarea etnografică pentru a formula și răspunde la întrebări referitoare la conceptele și procesele delineate mai sus.</w:t>
            </w:r>
          </w:p>
          <w:p w:rsidR="006D7100" w:rsidRPr="006D7100" w:rsidRDefault="006D7100" w:rsidP="006D7100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D7100">
              <w:rPr>
                <w:rFonts w:cs="Microsoft Sans Serif"/>
                <w:noProof/>
                <w:sz w:val="20"/>
                <w:szCs w:val="20"/>
              </w:rPr>
              <w:t xml:space="preserve">Echiparea studenților cu instrumente și cadre teoretice pentru analiza, discutarea și prezentarea dinamicilor etnice și rasiale din România și din lume și a proceselor prin care acestea sunt produse și reproduse, pentru conștientizarea propriilor poziții și contribuții din </w:t>
            </w:r>
            <w:r w:rsidRPr="006D7100">
              <w:rPr>
                <w:rFonts w:cs="Microsoft Sans Serif"/>
                <w:noProof/>
                <w:sz w:val="20"/>
                <w:szCs w:val="20"/>
              </w:rPr>
              <w:lastRenderedPageBreak/>
              <w:t>cadrul acestor dinamici.  Punerea în aplicare a acestor instrumente și teorii prin realizarea unor lucrări scrise proprii bazate pe analiza și integrarea unor materiale empirice și a unor texte teoretice și etnografice.</w:t>
            </w:r>
          </w:p>
          <w:p w:rsidR="006D7100" w:rsidRPr="006D7100" w:rsidRDefault="006D7100" w:rsidP="006D7100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cs="Microsoft Sans Serif"/>
                <w:noProof/>
                <w:sz w:val="20"/>
                <w:szCs w:val="20"/>
              </w:rPr>
            </w:pPr>
            <w:r w:rsidRPr="006D7100">
              <w:rPr>
                <w:rFonts w:cs="Microsoft Sans Serif"/>
                <w:noProof/>
                <w:sz w:val="20"/>
                <w:szCs w:val="20"/>
              </w:rPr>
              <w:t>Încurajarea unor atitudini critice și anti-rasiste în rândul studenților.</w:t>
            </w:r>
          </w:p>
          <w:p w:rsidR="006D7100" w:rsidRPr="006D7100" w:rsidRDefault="006D7100" w:rsidP="006D7100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D7100">
              <w:rPr>
                <w:rFonts w:cs="Microsoft Sans Serif"/>
                <w:noProof/>
                <w:sz w:val="20"/>
                <w:szCs w:val="20"/>
              </w:rPr>
              <w:t>Încurajarea dezvoltării unor atitudini și comportamente de colaborare, de oferire de feed-back constructiv, de purtarea unor discuții dificile în mod respectuos și constructiv.</w:t>
            </w:r>
          </w:p>
          <w:p w:rsidR="00EC3344" w:rsidRDefault="00EC3344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EC3344" w:rsidRPr="00617542" w:rsidRDefault="00EC3344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6D7100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6D7100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D7100">
              <w:rPr>
                <w:rFonts w:asciiTheme="minorHAnsi" w:hAnsiTheme="minorHAnsi"/>
                <w:b/>
                <w:sz w:val="20"/>
                <w:szCs w:val="20"/>
              </w:rPr>
              <w:t xml:space="preserve">8. </w:t>
            </w:r>
            <w:proofErr w:type="spellStart"/>
            <w:r w:rsidRPr="006D7100">
              <w:rPr>
                <w:rFonts w:asciiTheme="minorHAnsi" w:hAnsiTheme="minorHAnsi"/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D7100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6D7100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D7100">
              <w:rPr>
                <w:rFonts w:asciiTheme="minorHAnsi" w:hAnsiTheme="minorHAnsi"/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D7100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D7100" w:rsidRDefault="004F2030" w:rsidP="006175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D7100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u w:val="single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u w:val="single"/>
                <w:lang w:val="ro-RO"/>
              </w:rPr>
              <w:t xml:space="preserve">Săptămâna 1 – Introducere. Prezentarea cursului. 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Introducere: cum gândim despre rasă?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Bey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, M., &amp;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Sakellarides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, T. (2016). When We Enter: the Blackness of Rachel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Dolezal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>. The Black Scholar, 46(4), 33–48.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  <w:r w:rsidRPr="006D7100">
              <w:rPr>
                <w:rFonts w:asciiTheme="minorHAnsi" w:hAnsiTheme="minorHAnsi"/>
                <w:sz w:val="20"/>
                <w:szCs w:val="20"/>
              </w:rPr>
              <w:t xml:space="preserve">Brubaker, R. (2015). The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Dolezal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affair: race, gender, and the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micropolitics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of identity. Ethnic and Racial Studies, 39(3), 414–448.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ro-RO"/>
              </w:rPr>
            </w:pP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Tuvel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, Rebecca. 2017. "In defense of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transracialism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",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Hypatia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32(2), pp. 263-278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u w:val="single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u w:val="single"/>
                <w:lang w:val="ro-RO"/>
              </w:rPr>
              <w:t>Săptămâna 2 – Natură, cultură, biologie; Rasă și etnicitate; analiză culturală, etnografie; o mică genealogie a gândirii rasiale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u w:val="single"/>
                <w:lang w:val="ro-RO"/>
              </w:rPr>
            </w:pP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Tema 1: Istoria gândirii rasiale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De citit: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 w:cs="Times"/>
                <w:bCs/>
                <w:sz w:val="20"/>
                <w:szCs w:val="20"/>
              </w:rPr>
            </w:pPr>
            <w:r w:rsidRPr="006D7100">
              <w:rPr>
                <w:rFonts w:asciiTheme="minorHAnsi" w:hAnsiTheme="minorHAnsi" w:cs="Times"/>
                <w:bCs/>
                <w:sz w:val="20"/>
                <w:szCs w:val="20"/>
              </w:rPr>
              <w:t xml:space="preserve">Baker, Lee D. 1998. “Chapter 1: History and Theory of a </w:t>
            </w:r>
            <w:proofErr w:type="spellStart"/>
            <w:r w:rsidRPr="006D7100">
              <w:rPr>
                <w:rFonts w:asciiTheme="minorHAnsi" w:hAnsiTheme="minorHAnsi" w:cs="Times"/>
                <w:bCs/>
                <w:sz w:val="20"/>
                <w:szCs w:val="20"/>
              </w:rPr>
              <w:t>Racialized</w:t>
            </w:r>
            <w:proofErr w:type="spellEnd"/>
            <w:r w:rsidRPr="006D7100">
              <w:rPr>
                <w:rFonts w:asciiTheme="minorHAnsi" w:hAnsiTheme="minorHAnsi" w:cs="Times"/>
                <w:bCs/>
                <w:sz w:val="20"/>
                <w:szCs w:val="20"/>
              </w:rPr>
              <w:t xml:space="preserve"> Worldview.” </w:t>
            </w:r>
            <w:r w:rsidRPr="006D7100">
              <w:rPr>
                <w:rFonts w:asciiTheme="minorHAnsi" w:hAnsiTheme="minorHAnsi" w:cs="Times"/>
                <w:bCs/>
                <w:i/>
                <w:iCs/>
                <w:sz w:val="20"/>
                <w:szCs w:val="20"/>
              </w:rPr>
              <w:t>From Savage to Negro: Anthropology and the Construction of Race, 1896-1954</w:t>
            </w:r>
            <w:r w:rsidRPr="006D7100">
              <w:rPr>
                <w:rFonts w:asciiTheme="minorHAnsi" w:hAnsiTheme="minorHAnsi" w:cs="Times"/>
                <w:bCs/>
                <w:sz w:val="20"/>
                <w:szCs w:val="20"/>
              </w:rPr>
              <w:t>. University of California Press.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 w:cs="Times"/>
                <w:bCs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 w:cs="Times"/>
                <w:bCs/>
                <w:sz w:val="20"/>
                <w:szCs w:val="20"/>
                <w:lang w:val="ro-RO"/>
              </w:rPr>
              <w:t xml:space="preserve">Bărbulescu, Constantin.  2015. fragment din „’Degenerarea rasei și pieirea neamului’ sau despre spaimele demografice” în </w:t>
            </w:r>
            <w:r w:rsidRPr="006D7100">
              <w:rPr>
                <w:rFonts w:asciiTheme="minorHAnsi" w:hAnsiTheme="minorHAnsi" w:cs="Times"/>
                <w:bCs/>
                <w:i/>
                <w:sz w:val="20"/>
                <w:szCs w:val="20"/>
                <w:lang w:val="ro-RO"/>
              </w:rPr>
              <w:t>România medicilor: Medici, țărani și igienă rurală de la 1860 la 1910</w:t>
            </w:r>
            <w:r w:rsidRPr="006D7100">
              <w:rPr>
                <w:rFonts w:asciiTheme="minorHAnsi" w:hAnsiTheme="minorHAnsi" w:cs="Times"/>
                <w:bCs/>
                <w:sz w:val="20"/>
                <w:szCs w:val="20"/>
                <w:lang w:val="ro-RO"/>
              </w:rPr>
              <w:t>, Humanitas, pag. 218-246.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 w:cs="Times"/>
                <w:bCs/>
                <w:sz w:val="20"/>
                <w:szCs w:val="20"/>
              </w:rPr>
            </w:pPr>
            <w:proofErr w:type="spellStart"/>
            <w:r w:rsidRPr="006D7100">
              <w:rPr>
                <w:rFonts w:asciiTheme="minorHAnsi" w:hAnsiTheme="minorHAnsi" w:cs="Times"/>
                <w:bCs/>
                <w:sz w:val="20"/>
                <w:szCs w:val="20"/>
              </w:rPr>
              <w:t>Recomandate</w:t>
            </w:r>
            <w:proofErr w:type="spellEnd"/>
            <w:r w:rsidRPr="006D7100">
              <w:rPr>
                <w:rFonts w:asciiTheme="minorHAnsi" w:hAnsiTheme="minorHAnsi" w:cs="Times"/>
                <w:bCs/>
                <w:sz w:val="20"/>
                <w:szCs w:val="20"/>
              </w:rPr>
              <w:t>: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 w:cs="Times"/>
                <w:bCs/>
                <w:sz w:val="20"/>
                <w:szCs w:val="20"/>
              </w:rPr>
            </w:pPr>
            <w:r w:rsidRPr="006D7100">
              <w:rPr>
                <w:rFonts w:asciiTheme="minorHAnsi" w:hAnsiTheme="minorHAnsi" w:cs="Times"/>
                <w:bCs/>
                <w:sz w:val="20"/>
                <w:szCs w:val="20"/>
              </w:rPr>
              <w:lastRenderedPageBreak/>
              <w:t xml:space="preserve">Baker, Lee D. 1998.”The Ascension of Anthropology as Social Darwinism” </w:t>
            </w:r>
            <w:proofErr w:type="spellStart"/>
            <w:r w:rsidRPr="006D7100">
              <w:rPr>
                <w:rFonts w:asciiTheme="minorHAnsi" w:hAnsiTheme="minorHAnsi" w:cs="Times"/>
                <w:bCs/>
                <w:sz w:val="20"/>
                <w:szCs w:val="20"/>
              </w:rPr>
              <w:t>și</w:t>
            </w:r>
            <w:proofErr w:type="spellEnd"/>
            <w:r w:rsidRPr="006D7100">
              <w:rPr>
                <w:rFonts w:asciiTheme="minorHAnsi" w:hAnsiTheme="minorHAnsi" w:cs="Times"/>
                <w:bCs/>
                <w:sz w:val="20"/>
                <w:szCs w:val="20"/>
              </w:rPr>
              <w:t xml:space="preserve">  “Anthropology in American Popular Culture.” </w:t>
            </w:r>
            <w:r w:rsidRPr="006D7100">
              <w:rPr>
                <w:rFonts w:asciiTheme="minorHAnsi" w:hAnsiTheme="minorHAnsi" w:cs="Times"/>
                <w:bCs/>
                <w:i/>
                <w:iCs/>
                <w:sz w:val="20"/>
                <w:szCs w:val="20"/>
              </w:rPr>
              <w:t>From Savage to Negro: Anthropology and the Construction of Race, 1896-1954</w:t>
            </w:r>
            <w:r w:rsidRPr="006D7100">
              <w:rPr>
                <w:rFonts w:asciiTheme="minorHAnsi" w:hAnsiTheme="minorHAnsi" w:cs="Times"/>
                <w:bCs/>
                <w:sz w:val="20"/>
                <w:szCs w:val="20"/>
              </w:rPr>
              <w:t>. University of California Press.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Tema 2: Rasă, cultură, biologie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De citit: 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 w:cs="Helvetica"/>
                <w:sz w:val="20"/>
                <w:szCs w:val="20"/>
              </w:rPr>
            </w:pPr>
            <w:r w:rsidRPr="006D7100">
              <w:rPr>
                <w:rFonts w:asciiTheme="minorHAnsi" w:hAnsiTheme="minorHAnsi" w:cs="Helvetica"/>
                <w:sz w:val="20"/>
                <w:szCs w:val="20"/>
              </w:rPr>
              <w:t xml:space="preserve">Goodman, Alan. 2006. Two Questions About Race. http://raceandgenomics.ssrc.org/Goodman/ June 07, 2006.  </w:t>
            </w:r>
            <w:proofErr w:type="spellStart"/>
            <w:r w:rsidRPr="006D7100">
              <w:rPr>
                <w:rFonts w:asciiTheme="minorHAnsi" w:hAnsiTheme="minorHAnsi" w:cs="Helvetica"/>
                <w:sz w:val="20"/>
                <w:szCs w:val="20"/>
              </w:rPr>
              <w:t>Accesata</w:t>
            </w:r>
            <w:proofErr w:type="spellEnd"/>
            <w:r w:rsidRPr="006D7100">
              <w:rPr>
                <w:rFonts w:asciiTheme="minorHAnsi" w:hAnsiTheme="minorHAnsi" w:cs="Helvetica"/>
                <w:sz w:val="20"/>
                <w:szCs w:val="20"/>
              </w:rPr>
              <w:t xml:space="preserve"> 1 </w:t>
            </w:r>
            <w:proofErr w:type="spellStart"/>
            <w:r w:rsidRPr="006D7100">
              <w:rPr>
                <w:rFonts w:asciiTheme="minorHAnsi" w:hAnsiTheme="minorHAnsi" w:cs="Helvetica"/>
                <w:sz w:val="20"/>
                <w:szCs w:val="20"/>
              </w:rPr>
              <w:t>octombrie</w:t>
            </w:r>
            <w:proofErr w:type="spellEnd"/>
            <w:r w:rsidRPr="006D7100">
              <w:rPr>
                <w:rFonts w:asciiTheme="minorHAnsi" w:hAnsiTheme="minorHAnsi" w:cs="Helvetica"/>
                <w:sz w:val="20"/>
                <w:szCs w:val="20"/>
              </w:rPr>
              <w:t xml:space="preserve"> 2012.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ro-RO"/>
              </w:rPr>
            </w:pPr>
            <w:proofErr w:type="spellStart"/>
            <w:r w:rsidRPr="006D7100">
              <w:rPr>
                <w:rFonts w:asciiTheme="minorHAnsi" w:hAnsiTheme="minorHAnsi" w:cs="Helvetica"/>
                <w:sz w:val="20"/>
                <w:szCs w:val="20"/>
              </w:rPr>
              <w:t>Gravlee</w:t>
            </w:r>
            <w:proofErr w:type="spellEnd"/>
            <w:r w:rsidRPr="006D7100">
              <w:rPr>
                <w:rFonts w:asciiTheme="minorHAnsi" w:hAnsiTheme="minorHAnsi" w:cs="Helvetica"/>
                <w:sz w:val="20"/>
                <w:szCs w:val="20"/>
              </w:rPr>
              <w:t xml:space="preserve">, C. C. 2009. How Race Becomes Biology: Embodiment of Social Inequality. </w:t>
            </w:r>
            <w:r w:rsidRPr="006D7100">
              <w:rPr>
                <w:rFonts w:asciiTheme="minorHAnsi" w:hAnsiTheme="minorHAnsi" w:cs="Helvetica"/>
                <w:i/>
                <w:iCs/>
                <w:sz w:val="20"/>
                <w:szCs w:val="20"/>
              </w:rPr>
              <w:t>American Journal of Physical Anthropology</w:t>
            </w:r>
            <w:r w:rsidRPr="006D7100">
              <w:rPr>
                <w:rFonts w:asciiTheme="minorHAnsi" w:hAnsiTheme="minorHAnsi" w:cs="Helvetica"/>
                <w:sz w:val="20"/>
                <w:szCs w:val="20"/>
              </w:rPr>
              <w:t xml:space="preserve"> 139:47-57.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Recomandat: </w:t>
            </w:r>
          </w:p>
          <w:p w:rsidR="006D7100" w:rsidRPr="006D7100" w:rsidRDefault="006D7100" w:rsidP="006D7100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Turda, Marius. 2007. „</w:t>
            </w:r>
            <w:r w:rsidRPr="006D7100">
              <w:rPr>
                <w:rFonts w:asciiTheme="minorHAnsi" w:hAnsiTheme="minorHAnsi"/>
                <w:sz w:val="20"/>
                <w:szCs w:val="20"/>
              </w:rPr>
              <w:t xml:space="preserve">From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Craniology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to Serology: Racial Anthropology in Interwar Hungary and Romania”, </w:t>
            </w:r>
            <w:r w:rsidRPr="006D7100">
              <w:rPr>
                <w:rFonts w:asciiTheme="minorHAnsi" w:hAnsiTheme="minorHAnsi"/>
                <w:i/>
                <w:sz w:val="20"/>
                <w:szCs w:val="20"/>
              </w:rPr>
              <w:t>Journal of the History of the Behavioral Sciences</w:t>
            </w:r>
            <w:r w:rsidRPr="006D7100">
              <w:rPr>
                <w:rFonts w:asciiTheme="minorHAnsi" w:hAnsiTheme="minorHAnsi"/>
                <w:sz w:val="20"/>
                <w:szCs w:val="20"/>
              </w:rPr>
              <w:t>, Vol. 43(4), 361–377.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u w:val="single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u w:val="single"/>
                <w:lang w:val="ro-RO"/>
              </w:rPr>
              <w:t>Săptămâna 3 – STUDII DE CAZ 1: LIMBĂ, IDENTITATE, NAȚIUNE.</w:t>
            </w:r>
          </w:p>
          <w:p w:rsidR="006D7100" w:rsidRPr="007E60B2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Cuvinte cheie: limbă, identitate, identitate lingvistică, națiune, programare lingvistică, coumunitate lingvistică, diglosia.</w:t>
            </w:r>
          </w:p>
          <w:p w:rsidR="006D7100" w:rsidRPr="006D7100" w:rsidRDefault="006D7100" w:rsidP="006D7100">
            <w:pPr>
              <w:pStyle w:val="ListParagraph"/>
              <w:numPr>
                <w:ilvl w:val="1"/>
                <w:numId w:val="21"/>
              </w:num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D7100">
              <w:rPr>
                <w:rFonts w:asciiTheme="minorHAnsi" w:hAnsiTheme="minorHAnsi"/>
                <w:sz w:val="20"/>
                <w:szCs w:val="20"/>
              </w:rPr>
              <w:t>Limba bască</w:t>
            </w:r>
          </w:p>
          <w:p w:rsidR="006D7100" w:rsidRPr="006D7100" w:rsidRDefault="006D7100" w:rsidP="006D7100">
            <w:pPr>
              <w:pStyle w:val="ListParagraph"/>
              <w:numPr>
                <w:ilvl w:val="1"/>
                <w:numId w:val="21"/>
              </w:num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D7100">
              <w:rPr>
                <w:rFonts w:asciiTheme="minorHAnsi" w:hAnsiTheme="minorHAnsi"/>
                <w:sz w:val="20"/>
                <w:szCs w:val="20"/>
              </w:rPr>
              <w:t>Limba romani</w:t>
            </w:r>
          </w:p>
          <w:p w:rsidR="006D7100" w:rsidRPr="006D7100" w:rsidRDefault="006D7100" w:rsidP="006D7100">
            <w:pPr>
              <w:pStyle w:val="ListParagraph"/>
              <w:spacing w:line="240" w:lineRule="auto"/>
              <w:ind w:left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 w:cs="Helvetica"/>
                <w:sz w:val="20"/>
                <w:szCs w:val="20"/>
              </w:rPr>
            </w:pPr>
            <w:r w:rsidRPr="006D7100">
              <w:rPr>
                <w:rFonts w:asciiTheme="minorHAnsi" w:hAnsiTheme="minorHAnsi" w:cs="Helvetica"/>
                <w:sz w:val="20"/>
                <w:szCs w:val="20"/>
              </w:rPr>
              <w:t xml:space="preserve">De </w:t>
            </w:r>
            <w:proofErr w:type="spellStart"/>
            <w:r w:rsidRPr="006D7100">
              <w:rPr>
                <w:rFonts w:asciiTheme="minorHAnsi" w:hAnsiTheme="minorHAnsi" w:cs="Helvetica"/>
                <w:sz w:val="20"/>
                <w:szCs w:val="20"/>
              </w:rPr>
              <w:t>citit</w:t>
            </w:r>
            <w:proofErr w:type="spellEnd"/>
            <w:r w:rsidRPr="006D7100">
              <w:rPr>
                <w:rFonts w:asciiTheme="minorHAnsi" w:hAnsiTheme="minorHAnsi" w:cs="Helvetica"/>
                <w:sz w:val="20"/>
                <w:szCs w:val="20"/>
              </w:rPr>
              <w:t>: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 w:cs="Helvetica"/>
                <w:sz w:val="20"/>
                <w:szCs w:val="20"/>
              </w:rPr>
            </w:pPr>
            <w:proofErr w:type="spellStart"/>
            <w:r w:rsidRPr="006D7100">
              <w:rPr>
                <w:rFonts w:asciiTheme="minorHAnsi" w:hAnsiTheme="minorHAnsi" w:cs="Helvetica"/>
                <w:sz w:val="20"/>
                <w:szCs w:val="20"/>
              </w:rPr>
              <w:t>Urla</w:t>
            </w:r>
            <w:proofErr w:type="spellEnd"/>
            <w:r w:rsidRPr="006D7100">
              <w:rPr>
                <w:rFonts w:asciiTheme="minorHAnsi" w:hAnsiTheme="minorHAnsi" w:cs="Helvetica"/>
                <w:sz w:val="20"/>
                <w:szCs w:val="20"/>
              </w:rPr>
              <w:t xml:space="preserve">, J. 1988. “Ethnic Protest and Social Planning: A Look at Basque Language Revival”, </w:t>
            </w:r>
            <w:r w:rsidRPr="006D7100">
              <w:rPr>
                <w:rFonts w:asciiTheme="minorHAnsi" w:hAnsiTheme="minorHAnsi" w:cs="Helvetica"/>
                <w:i/>
                <w:iCs/>
                <w:sz w:val="20"/>
                <w:szCs w:val="20"/>
              </w:rPr>
              <w:t>Cultural Anthropology</w:t>
            </w:r>
            <w:r w:rsidRPr="006D7100">
              <w:rPr>
                <w:rFonts w:asciiTheme="minorHAnsi" w:hAnsiTheme="minorHAnsi" w:cs="Helvetica"/>
                <w:sz w:val="20"/>
                <w:szCs w:val="20"/>
              </w:rPr>
              <w:t xml:space="preserve"> 3:379-394.</w:t>
            </w:r>
          </w:p>
          <w:p w:rsidR="006D7100" w:rsidRPr="006D7100" w:rsidRDefault="006D7100" w:rsidP="006D7100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Matras, Yaron. 2015. „</w:t>
            </w:r>
            <w:r w:rsidRPr="006D7100">
              <w:rPr>
                <w:rFonts w:asciiTheme="minorHAnsi" w:hAnsiTheme="minorHAnsi"/>
                <w:sz w:val="20"/>
                <w:szCs w:val="20"/>
              </w:rPr>
              <w:t xml:space="preserve">Transnational policy and ‘authenticity’ discourses on Romani language and identity”,  </w:t>
            </w:r>
            <w:r w:rsidRPr="006D7100">
              <w:rPr>
                <w:rFonts w:asciiTheme="minorHAnsi" w:hAnsiTheme="minorHAnsi"/>
                <w:i/>
                <w:sz w:val="20"/>
                <w:szCs w:val="20"/>
              </w:rPr>
              <w:t>Language in Society</w:t>
            </w:r>
            <w:r w:rsidRPr="006D7100">
              <w:rPr>
                <w:rFonts w:asciiTheme="minorHAnsi" w:hAnsiTheme="minorHAnsi"/>
                <w:sz w:val="20"/>
                <w:szCs w:val="20"/>
              </w:rPr>
              <w:t xml:space="preserve"> 44, 295–316.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u w:val="single"/>
                <w:lang w:val="ro-RO"/>
              </w:rPr>
              <w:t>Săptămâna 4 – STUDII DE CAZ 2: COLONIALISM, POST-COLONIALISM, RASĂ, ETNICITATE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Cuvinte cheie: Colonialism, rasă, etnicitate, stat, națiune, indigen, mestizo</w:t>
            </w:r>
          </w:p>
          <w:p w:rsidR="006D7100" w:rsidRPr="006D7100" w:rsidRDefault="006D7100" w:rsidP="006D7100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lastRenderedPageBreak/>
              <w:t>2.1 Rasă, clasă, mestiçagem în Brazilia (și, dacă se poate, mestizaje în America Latină)</w:t>
            </w:r>
          </w:p>
          <w:p w:rsidR="006D7100" w:rsidRPr="006D7100" w:rsidRDefault="006D7100" w:rsidP="006D7100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2.2 Etnicitate în Rwanda  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De citit: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 w:cs="Helvetica"/>
                <w:sz w:val="20"/>
                <w:szCs w:val="20"/>
              </w:rPr>
            </w:pPr>
            <w:r w:rsidRPr="006D7100">
              <w:rPr>
                <w:rFonts w:asciiTheme="minorHAnsi" w:hAnsiTheme="minorHAnsi" w:cs="Helvetica"/>
                <w:sz w:val="20"/>
                <w:szCs w:val="20"/>
              </w:rPr>
              <w:t>McCallum, Cecilia. 2005. “</w:t>
            </w:r>
            <w:proofErr w:type="spellStart"/>
            <w:r w:rsidRPr="006D7100">
              <w:rPr>
                <w:rFonts w:asciiTheme="minorHAnsi" w:hAnsiTheme="minorHAnsi" w:cs="Helvetica"/>
                <w:sz w:val="20"/>
                <w:szCs w:val="20"/>
              </w:rPr>
              <w:t>Racialized</w:t>
            </w:r>
            <w:proofErr w:type="spellEnd"/>
            <w:r w:rsidRPr="006D7100">
              <w:rPr>
                <w:rFonts w:asciiTheme="minorHAnsi" w:hAnsiTheme="minorHAnsi" w:cs="Helvetica"/>
                <w:sz w:val="20"/>
                <w:szCs w:val="20"/>
              </w:rPr>
              <w:t xml:space="preserve"> bodies, naturalized classes: moving through the city of Salvador </w:t>
            </w:r>
            <w:proofErr w:type="spellStart"/>
            <w:r w:rsidRPr="006D7100">
              <w:rPr>
                <w:rFonts w:asciiTheme="minorHAnsi" w:hAnsiTheme="minorHAnsi" w:cs="Helvetica"/>
                <w:sz w:val="20"/>
                <w:szCs w:val="20"/>
              </w:rPr>
              <w:t>da</w:t>
            </w:r>
            <w:proofErr w:type="spellEnd"/>
            <w:r w:rsidRPr="006D7100">
              <w:rPr>
                <w:rFonts w:asciiTheme="minorHAnsi" w:hAnsiTheme="minorHAnsi" w:cs="Helvetica"/>
                <w:sz w:val="20"/>
                <w:szCs w:val="20"/>
              </w:rPr>
              <w:t xml:space="preserve"> Bahia”, </w:t>
            </w:r>
            <w:proofErr w:type="spellStart"/>
            <w:r w:rsidRPr="006D7100">
              <w:rPr>
                <w:rFonts w:asciiTheme="minorHAnsi" w:hAnsiTheme="minorHAnsi" w:cs="Helvetica"/>
                <w:sz w:val="20"/>
                <w:szCs w:val="20"/>
              </w:rPr>
              <w:t>în</w:t>
            </w:r>
            <w:proofErr w:type="spellEnd"/>
            <w:r w:rsidRPr="006D7100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Pr="006D7100">
              <w:rPr>
                <w:rFonts w:asciiTheme="minorHAnsi" w:hAnsiTheme="minorHAnsi" w:cs="Helvetica"/>
                <w:i/>
                <w:sz w:val="20"/>
                <w:szCs w:val="20"/>
              </w:rPr>
              <w:t>American Ethnologist</w:t>
            </w:r>
            <w:r w:rsidRPr="006D7100">
              <w:rPr>
                <w:rFonts w:asciiTheme="minorHAnsi" w:hAnsiTheme="minorHAnsi" w:cs="Helvetica"/>
                <w:sz w:val="20"/>
                <w:szCs w:val="20"/>
              </w:rPr>
              <w:t>, Vol. 32, nr. 1, pp.100-117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 w:cs="Helvetica"/>
                <w:sz w:val="20"/>
                <w:szCs w:val="20"/>
              </w:rPr>
            </w:pPr>
            <w:r w:rsidRPr="006D7100">
              <w:rPr>
                <w:rFonts w:asciiTheme="minorHAnsi" w:hAnsiTheme="minorHAnsi" w:cs="Helvetica"/>
                <w:sz w:val="20"/>
                <w:szCs w:val="20"/>
              </w:rPr>
              <w:t xml:space="preserve">McLean </w:t>
            </w:r>
            <w:proofErr w:type="spellStart"/>
            <w:r w:rsidRPr="006D7100">
              <w:rPr>
                <w:rFonts w:asciiTheme="minorHAnsi" w:hAnsiTheme="minorHAnsi" w:cs="Helvetica"/>
                <w:sz w:val="20"/>
                <w:szCs w:val="20"/>
              </w:rPr>
              <w:t>Hilker</w:t>
            </w:r>
            <w:proofErr w:type="spellEnd"/>
            <w:r w:rsidRPr="006D7100">
              <w:rPr>
                <w:rFonts w:asciiTheme="minorHAnsi" w:hAnsiTheme="minorHAnsi" w:cs="Helvetica"/>
                <w:sz w:val="20"/>
                <w:szCs w:val="20"/>
              </w:rPr>
              <w:t>, L. 2012. Rwanda's '</w:t>
            </w:r>
            <w:proofErr w:type="spellStart"/>
            <w:r w:rsidRPr="006D7100">
              <w:rPr>
                <w:rFonts w:asciiTheme="minorHAnsi" w:hAnsiTheme="minorHAnsi" w:cs="Helvetica"/>
                <w:sz w:val="20"/>
                <w:szCs w:val="20"/>
              </w:rPr>
              <w:t>Hutsi</w:t>
            </w:r>
            <w:proofErr w:type="spellEnd"/>
            <w:r w:rsidRPr="006D7100">
              <w:rPr>
                <w:rFonts w:asciiTheme="minorHAnsi" w:hAnsiTheme="minorHAnsi" w:cs="Helvetica"/>
                <w:sz w:val="20"/>
                <w:szCs w:val="20"/>
              </w:rPr>
              <w:t xml:space="preserve">': intersections of ethnicity and </w:t>
            </w:r>
            <w:proofErr w:type="spellStart"/>
            <w:r w:rsidRPr="006D7100">
              <w:rPr>
                <w:rFonts w:asciiTheme="minorHAnsi" w:hAnsiTheme="minorHAnsi" w:cs="Helvetica"/>
                <w:sz w:val="20"/>
                <w:szCs w:val="20"/>
              </w:rPr>
              <w:t>violonce</w:t>
            </w:r>
            <w:proofErr w:type="spellEnd"/>
            <w:r w:rsidRPr="006D7100">
              <w:rPr>
                <w:rFonts w:asciiTheme="minorHAnsi" w:hAnsiTheme="minorHAnsi" w:cs="Helvetica"/>
                <w:sz w:val="20"/>
                <w:szCs w:val="20"/>
              </w:rPr>
              <w:t xml:space="preserve"> in the lives of youth of 'mixed' heritage. </w:t>
            </w:r>
            <w:r w:rsidRPr="006D7100">
              <w:rPr>
                <w:rFonts w:asciiTheme="minorHAnsi" w:hAnsiTheme="minorHAnsi" w:cs="Helvetica"/>
                <w:i/>
                <w:iCs/>
                <w:sz w:val="20"/>
                <w:szCs w:val="20"/>
              </w:rPr>
              <w:t>Identities: Global Studies in Culture and Power</w:t>
            </w:r>
            <w:r w:rsidRPr="006D7100">
              <w:rPr>
                <w:rFonts w:asciiTheme="minorHAnsi" w:hAnsiTheme="minorHAnsi" w:cs="Helvetica"/>
                <w:sz w:val="20"/>
                <w:szCs w:val="20"/>
              </w:rPr>
              <w:t xml:space="preserve"> 19:229-247.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 w:cs="Helvetica"/>
                <w:sz w:val="20"/>
                <w:szCs w:val="20"/>
              </w:rPr>
            </w:pPr>
            <w:r w:rsidRPr="006D7100">
              <w:rPr>
                <w:rFonts w:asciiTheme="minorHAnsi" w:hAnsiTheme="minorHAnsi" w:cs="Helvetica"/>
                <w:sz w:val="20"/>
                <w:szCs w:val="20"/>
              </w:rPr>
              <w:t xml:space="preserve">Newbury, C. 1998. Ethnicity and the Politics of History in Rwanda. </w:t>
            </w:r>
            <w:r w:rsidRPr="006D7100">
              <w:rPr>
                <w:rFonts w:asciiTheme="minorHAnsi" w:hAnsiTheme="minorHAnsi" w:cs="Helvetica"/>
                <w:i/>
                <w:iCs/>
                <w:sz w:val="20"/>
                <w:szCs w:val="20"/>
              </w:rPr>
              <w:t>Africa Today</w:t>
            </w:r>
            <w:r w:rsidRPr="006D7100">
              <w:rPr>
                <w:rFonts w:asciiTheme="minorHAnsi" w:hAnsiTheme="minorHAnsi" w:cs="Helvetica"/>
                <w:sz w:val="20"/>
                <w:szCs w:val="20"/>
              </w:rPr>
              <w:t xml:space="preserve"> 45:7-24.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Sheriff, Robin E. 2003. „Embracing Race: Deconstructing Mestiçagem in Rio de Janeiro” în </w:t>
            </w:r>
            <w:r w:rsidRPr="006D7100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The Journal of Latin American and Caribbean Anthropology</w:t>
            </w: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, vol. 8, nr. 1, pp. 86-115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u w:val="single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u w:val="single"/>
                <w:lang w:val="ro-RO"/>
              </w:rPr>
              <w:t xml:space="preserve">Săptămâna 5 – STUDII DE CAZ 3: REPRODUCEREA INEGALITĂȚILOR SOCIALE. 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Cuvinte cheie: procese spațiale. rasism de mediu, justiție de mediu.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3.1 Marginalizarea spațială a comunităților de romi în România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3.2 „Gated communities”—rasă și segregare: Africa de Sud, SUA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De citit:</w:t>
            </w:r>
          </w:p>
          <w:p w:rsidR="006D7100" w:rsidRPr="006D7100" w:rsidRDefault="006D7100" w:rsidP="006D7100">
            <w:pPr>
              <w:pStyle w:val="Default"/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Durington, Matthew. 2006. „</w:t>
            </w:r>
            <w:r w:rsidRPr="006D7100">
              <w:rPr>
                <w:rFonts w:asciiTheme="minorHAnsi" w:hAnsiTheme="minorHAnsi"/>
                <w:sz w:val="20"/>
                <w:szCs w:val="20"/>
              </w:rPr>
              <w:t xml:space="preserve">Race, space and place in suburban Durban: an ethnographic assessment of gated community environments and residents”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D7100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GeoJournal</w:t>
            </w: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, Vol. 66, No. 1/2, pp: 147-160.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Low, Setha. 2009. „Maintaining Whiteness: The Fear of Others and Niceness” în </w:t>
            </w:r>
            <w:r w:rsidRPr="006D7100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Transforming Anthropology</w:t>
            </w: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, Vol.17, No. 2, pp: 79-92.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Vincze, Enikő. 2013. „Socio-spacial marginality of Roma as Form of Intersectional Injustice” în </w:t>
            </w:r>
            <w:r w:rsidRPr="006D7100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Studia UBB Sociologia</w:t>
            </w: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, LVIII, 2, pp: 217-242.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lastRenderedPageBreak/>
              <w:t xml:space="preserve">Recomandat, restul volumului tematic din </w:t>
            </w:r>
            <w:r w:rsidRPr="006D7100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Studia UBB Sociologia</w:t>
            </w: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.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Recomandat, filmul „Școala noastră”.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u w:val="single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u w:val="single"/>
                <w:lang w:val="ro-RO"/>
              </w:rPr>
              <w:t xml:space="preserve">Săptămâna 6 – STUDII DE CAZ 4: IDENTITATE, CULTURĂ EXPRESIVĂ, 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Cuvinte cheie: identitate culturală, cultură expresivă, formă culturală, folclor, pop culture, turism cultural, apropriere culturală, autenticitate.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4.1. Turism etnic/cultural în Oaxaca, Mexic. 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4.2. Hip hop. Hip hop în Japonia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De citit: 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Brulotte, Ronda. 2009. „’Yo soy nativo de aqui’: The Ambiguities of Race and Indigeneity in Oaxacan Craft Tourism” în </w:t>
            </w:r>
            <w:r w:rsidRPr="006D7100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The Journal of Latin American and Caribbean Anthropology</w:t>
            </w: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, Vol. 14, nr. 2, pp. 457-482.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Condry, Ian. 2007. „Yellow B-Boys, Black Culture, and Hip-Hop in Japan: Toward a Transnational Cultural Politics of Race” în Positions, Vol. 15, Nr. 3, 637-671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Recomandat: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Bendix, Regina. 1997. </w:t>
            </w:r>
            <w:r w:rsidRPr="006D7100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In search of authenticity: the formation of folklore studies</w:t>
            </w: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. University of Wisconsin Press.</w:t>
            </w:r>
          </w:p>
          <w:p w:rsidR="006D7100" w:rsidRPr="006D7100" w:rsidRDefault="006D7100" w:rsidP="006D7100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Theme="minorHAnsi" w:hAnsiTheme="minorHAnsi"/>
                <w:i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</w:rPr>
              <w:t xml:space="preserve">Dyson, Michael Eric. 2004. “The Culture of Hip-Hop”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D7100">
              <w:rPr>
                <w:rFonts w:asciiTheme="minorHAnsi" w:hAnsiTheme="minorHAnsi"/>
                <w:i/>
                <w:sz w:val="20"/>
                <w:szCs w:val="20"/>
              </w:rPr>
              <w:t>That’s the joint</w:t>
            </w:r>
            <w:proofErr w:type="gramStart"/>
            <w:r w:rsidRPr="006D7100">
              <w:rPr>
                <w:rFonts w:asciiTheme="minorHAnsi" w:hAnsiTheme="minorHAnsi"/>
                <w:i/>
                <w:sz w:val="20"/>
                <w:szCs w:val="20"/>
              </w:rPr>
              <w:t>!:</w:t>
            </w:r>
            <w:proofErr w:type="gramEnd"/>
            <w:r w:rsidRPr="006D7100">
              <w:rPr>
                <w:rFonts w:asciiTheme="minorHAnsi" w:hAnsiTheme="minorHAnsi"/>
                <w:i/>
                <w:sz w:val="20"/>
                <w:szCs w:val="20"/>
              </w:rPr>
              <w:t xml:space="preserve"> the hip-hop studies reader</w:t>
            </w:r>
            <w:r w:rsidRPr="006D710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editat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de Mark Anthony Neal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Murray Forman,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Routledge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6D7100" w:rsidRPr="006D7100" w:rsidRDefault="006D7100" w:rsidP="006D7100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  <w:r w:rsidRPr="006D7100">
              <w:rPr>
                <w:rFonts w:asciiTheme="minorHAnsi" w:hAnsiTheme="minorHAnsi"/>
                <w:sz w:val="20"/>
                <w:szCs w:val="20"/>
              </w:rPr>
              <w:t xml:space="preserve">Williams, Raymond. 2006. “The Analysis of Culture.” </w:t>
            </w:r>
            <w:r w:rsidRPr="006D7100">
              <w:rPr>
                <w:rFonts w:asciiTheme="minorHAnsi" w:hAnsiTheme="minorHAnsi"/>
                <w:i/>
                <w:sz w:val="20"/>
                <w:szCs w:val="20"/>
              </w:rPr>
              <w:t xml:space="preserve">Cultural Theory and Popular Culture, </w:t>
            </w:r>
            <w:r w:rsidRPr="006D7100">
              <w:rPr>
                <w:rFonts w:asciiTheme="minorHAnsi" w:hAnsiTheme="minorHAnsi"/>
                <w:sz w:val="20"/>
                <w:szCs w:val="20"/>
              </w:rPr>
              <w:t xml:space="preserve">John Storey (editor), </w:t>
            </w: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The University of Georgia Press, pp</w:t>
            </w:r>
            <w:r w:rsidRPr="006D7100">
              <w:rPr>
                <w:rFonts w:asciiTheme="minorHAnsi" w:hAnsiTheme="minorHAnsi"/>
                <w:sz w:val="20"/>
                <w:szCs w:val="20"/>
              </w:rPr>
              <w:t>: 32–40.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u w:val="single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u w:val="single"/>
                <w:lang w:val="ro-RO"/>
              </w:rPr>
              <w:t>Săptămâna 7 – STUDII DE CAZ 5: INTERSECȚIONALITATE. RECAPITULARE.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Cuvinte cheie: gen, clasă, intersecționalitate, antropologie anti-rasista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5.1 Intersecționalitate: Rasă, etnicitate și violență de gen 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5.2. Propuneri din partea studenților.</w:t>
            </w:r>
          </w:p>
          <w:p w:rsidR="006D7100" w:rsidRPr="006D7100" w:rsidRDefault="006D7100" w:rsidP="006D7100">
            <w:pPr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De citit:</w:t>
            </w:r>
          </w:p>
          <w:p w:rsidR="006D7100" w:rsidRPr="006D7100" w:rsidRDefault="006D7100" w:rsidP="006D7100">
            <w:pPr>
              <w:ind w:left="567" w:hanging="567"/>
              <w:rPr>
                <w:rStyle w:val="publication-meta-journal"/>
                <w:rFonts w:asciiTheme="minorHAnsi" w:hAnsiTheme="minorHAnsi"/>
                <w:sz w:val="20"/>
                <w:szCs w:val="20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Crenshaw, Kimberle. 1991.  „Mapping the Margins: </w:t>
            </w: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lastRenderedPageBreak/>
              <w:t xml:space="preserve">Intersectionality, Identity Politics, and Violence Against Women of Color” în </w:t>
            </w:r>
            <w:r w:rsidRPr="006D7100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Stanford Law Review</w:t>
            </w: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, </w:t>
            </w:r>
            <w:r w:rsidRPr="006D7100">
              <w:rPr>
                <w:rStyle w:val="publication-meta-journal"/>
                <w:rFonts w:asciiTheme="minorHAnsi" w:hAnsiTheme="minorHAnsi"/>
                <w:sz w:val="20"/>
                <w:szCs w:val="20"/>
              </w:rPr>
              <w:t>43(6):1241-1299</w:t>
            </w:r>
          </w:p>
          <w:p w:rsidR="006D7100" w:rsidRPr="006D7100" w:rsidRDefault="006D7100" w:rsidP="006D7100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Mullings, Leith. 2005. „Interrogating Racism: Toward and Antiracist Anthropology” în </w:t>
            </w:r>
            <w:r w:rsidRPr="006D7100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Annual Review of Anthropology</w:t>
            </w:r>
            <w:r w:rsidRPr="006D7100">
              <w:rPr>
                <w:rFonts w:asciiTheme="minorHAnsi" w:hAnsiTheme="minorHAnsi"/>
                <w:sz w:val="20"/>
                <w:szCs w:val="20"/>
                <w:lang w:val="ro-RO"/>
              </w:rPr>
              <w:t>, Vol. 34, pp. 667-693.</w:t>
            </w:r>
          </w:p>
          <w:p w:rsidR="006D7100" w:rsidRPr="006D7100" w:rsidRDefault="006D7100" w:rsidP="006D7100">
            <w:pPr>
              <w:pStyle w:val="NoSpacing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6D7100" w:rsidRDefault="006D71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lastRenderedPageBreak/>
              <w:t>Prelegeri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discuții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deschise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pe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marginea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textelor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6D7100">
              <w:rPr>
                <w:rFonts w:asciiTheme="minorHAnsi" w:hAnsiTheme="minorHAnsi"/>
                <w:sz w:val="20"/>
                <w:szCs w:val="20"/>
              </w:rPr>
              <w:t>lectură</w:t>
            </w:r>
            <w:proofErr w:type="spellEnd"/>
            <w:r w:rsidR="001040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040E1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1040E1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="001040E1">
              <w:rPr>
                <w:rFonts w:asciiTheme="minorHAnsi" w:hAnsiTheme="minorHAnsi"/>
                <w:sz w:val="20"/>
                <w:szCs w:val="20"/>
              </w:rPr>
              <w:t>prezentărilor</w:t>
            </w:r>
            <w:proofErr w:type="spellEnd"/>
            <w:r w:rsidR="001040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040E1">
              <w:rPr>
                <w:rFonts w:asciiTheme="minorHAnsi" w:hAnsiTheme="minorHAnsi"/>
                <w:sz w:val="20"/>
                <w:szCs w:val="20"/>
              </w:rPr>
              <w:t>studenților</w:t>
            </w:r>
            <w:proofErr w:type="spellEnd"/>
            <w:r w:rsidRPr="006D710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D7100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2030" w:rsidRPr="006D7100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6D7100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asciiTheme="minorHAnsi" w:hAnsiTheme="minorHAnsi"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4F2030" w:rsidRPr="006D7100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030" w:rsidRPr="006D7100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6D7100" w:rsidRDefault="004F2030" w:rsidP="0061754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D7100">
              <w:rPr>
                <w:rFonts w:asciiTheme="minorHAnsi" w:hAnsiTheme="minorHAnsi" w:cs="Calibri"/>
                <w:sz w:val="20"/>
                <w:szCs w:val="20"/>
              </w:rPr>
              <w:t>8. 2 Seminar/</w:t>
            </w:r>
            <w:proofErr w:type="spellStart"/>
            <w:r w:rsidRPr="006D7100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D7100" w:rsidRDefault="004F2030" w:rsidP="0061754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6D7100">
              <w:rPr>
                <w:rFonts w:asciiTheme="minorHAnsi" w:hAnsiTheme="minorHAnsi" w:cs="Calibri"/>
                <w:sz w:val="20"/>
                <w:szCs w:val="20"/>
              </w:rPr>
              <w:t>Metode</w:t>
            </w:r>
            <w:proofErr w:type="spellEnd"/>
            <w:r w:rsidRPr="006D7100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6D7100">
              <w:rPr>
                <w:rFonts w:asciiTheme="minorHAnsi" w:hAnsiTheme="minorHAnsi"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D7100" w:rsidRDefault="004F2030" w:rsidP="0061754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6D7100">
              <w:rPr>
                <w:rFonts w:asciiTheme="minorHAnsi" w:hAnsiTheme="minorHAnsi"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D7100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6D7100" w:rsidRDefault="004F2030" w:rsidP="00617542">
            <w:pPr>
              <w:spacing w:after="0" w:line="240" w:lineRule="auto"/>
              <w:ind w:left="360" w:hanging="36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6D7100" w:rsidRDefault="004F2030" w:rsidP="00617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4F2030" w:rsidRPr="006D7100" w:rsidRDefault="004F2030" w:rsidP="0061754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030" w:rsidRPr="006D7100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4F2030" w:rsidRPr="006D7100" w:rsidRDefault="004F2030" w:rsidP="0061754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61754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:rsidTr="00821576">
        <w:trPr>
          <w:trHeight w:val="713"/>
        </w:trPr>
        <w:tc>
          <w:tcPr>
            <w:tcW w:w="9828" w:type="dxa"/>
          </w:tcPr>
          <w:p w:rsidR="00D63626" w:rsidRPr="00617542" w:rsidRDefault="00626EC0" w:rsidP="00626E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Cursul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pregătirea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studenților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a se </w:t>
            </w:r>
            <w:proofErr w:type="spellStart"/>
            <w:r>
              <w:rPr>
                <w:sz w:val="20"/>
                <w:szCs w:val="20"/>
              </w:rPr>
              <w:t>integra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succes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atât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comunitatea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cât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profesională</w:t>
            </w:r>
            <w:proofErr w:type="spellEnd"/>
            <w:r>
              <w:rPr>
                <w:sz w:val="20"/>
                <w:szCs w:val="20"/>
              </w:rPr>
              <w:t xml:space="preserve"> (a </w:t>
            </w:r>
            <w:proofErr w:type="spellStart"/>
            <w:r>
              <w:rPr>
                <w:sz w:val="20"/>
                <w:szCs w:val="20"/>
              </w:rPr>
              <w:t>practicienilor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domeniul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dezvoltării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comunitare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prin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familiarizarea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teoriile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relevante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domeniul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antropologiei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rasei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etnicității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precum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construirea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sensibilități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însușirea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cunoștințe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necesare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desfășurării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proiectelor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dezvoltare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comunitară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comunități</w:t>
            </w:r>
            <w:proofErr w:type="spellEnd"/>
            <w:r>
              <w:rPr>
                <w:sz w:val="20"/>
                <w:szCs w:val="20"/>
              </w:rPr>
              <w:t xml:space="preserve"> multi-</w:t>
            </w:r>
            <w:proofErr w:type="spellStart"/>
            <w:r>
              <w:rPr>
                <w:sz w:val="20"/>
                <w:szCs w:val="20"/>
              </w:rPr>
              <w:t>etnice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617542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3D1586" w:rsidRPr="00617542" w:rsidRDefault="003D1586" w:rsidP="003D158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Evaluarea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este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continuă</w:t>
            </w:r>
            <w:proofErr w:type="spellEnd"/>
            <w:r>
              <w:rPr>
                <w:b/>
                <w:sz w:val="20"/>
                <w:szCs w:val="20"/>
              </w:rPr>
              <w:t xml:space="preserve">, se </w:t>
            </w:r>
            <w:proofErr w:type="spellStart"/>
            <w:r>
              <w:rPr>
                <w:b/>
                <w:sz w:val="20"/>
                <w:szCs w:val="20"/>
              </w:rPr>
              <w:t>desfășoară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întreg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parcursul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semestrului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600" w:type="dxa"/>
          </w:tcPr>
          <w:p w:rsidR="00D63626" w:rsidRDefault="003D1586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3D1586" w:rsidRPr="00617542" w:rsidRDefault="003D1586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1586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3D1586" w:rsidRPr="00617542" w:rsidRDefault="003D158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3D1586" w:rsidRDefault="003D1586" w:rsidP="003D158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3D1586" w:rsidRDefault="003D1586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Prezență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participare</w:t>
            </w:r>
            <w:proofErr w:type="spellEnd"/>
          </w:p>
        </w:tc>
        <w:tc>
          <w:tcPr>
            <w:tcW w:w="1440" w:type="dxa"/>
          </w:tcPr>
          <w:p w:rsidR="003D1586" w:rsidRPr="00617542" w:rsidRDefault="003D1586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3D1586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3D1586" w:rsidRPr="00617542" w:rsidRDefault="003D158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3D1586" w:rsidRDefault="003D1586" w:rsidP="003D158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3D1586" w:rsidRDefault="003D1586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prezentări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clasă</w:t>
            </w:r>
            <w:proofErr w:type="spellEnd"/>
          </w:p>
        </w:tc>
        <w:tc>
          <w:tcPr>
            <w:tcW w:w="1440" w:type="dxa"/>
          </w:tcPr>
          <w:p w:rsidR="003D1586" w:rsidRDefault="003D1586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2x25%=50%</w:t>
            </w:r>
          </w:p>
        </w:tc>
      </w:tr>
      <w:tr w:rsidR="003D1586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3D1586" w:rsidRPr="00617542" w:rsidRDefault="003D158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3D1586" w:rsidRDefault="003D1586" w:rsidP="003D158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3D1586" w:rsidRDefault="003D1586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Proiect</w:t>
            </w:r>
            <w:proofErr w:type="spellEnd"/>
            <w:r>
              <w:rPr>
                <w:sz w:val="20"/>
                <w:szCs w:val="20"/>
              </w:rPr>
              <w:t xml:space="preserve"> final</w:t>
            </w:r>
          </w:p>
        </w:tc>
        <w:tc>
          <w:tcPr>
            <w:tcW w:w="1440" w:type="dxa"/>
          </w:tcPr>
          <w:p w:rsidR="003D1586" w:rsidRDefault="003D1586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D63626" w:rsidRPr="00617542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63626" w:rsidRPr="00617542" w:rsidRDefault="00D6362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3626" w:rsidRPr="00617542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D63626" w:rsidRDefault="003D1586" w:rsidP="00617542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Participarea</w:t>
            </w:r>
            <w:proofErr w:type="spellEnd"/>
            <w:r>
              <w:rPr>
                <w:sz w:val="20"/>
                <w:szCs w:val="20"/>
              </w:rPr>
              <w:t xml:space="preserve"> la minim 50% din </w:t>
            </w:r>
            <w:proofErr w:type="spellStart"/>
            <w:r>
              <w:rPr>
                <w:sz w:val="20"/>
                <w:szCs w:val="20"/>
              </w:rPr>
              <w:t>întâlniri</w:t>
            </w:r>
            <w:proofErr w:type="spellEnd"/>
          </w:p>
          <w:p w:rsidR="003D1586" w:rsidRDefault="003D1586" w:rsidP="00617542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Însușirea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teoriilor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</w:p>
          <w:p w:rsidR="003D1586" w:rsidRPr="00617542" w:rsidRDefault="003D1586" w:rsidP="00617542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proiectului</w:t>
            </w:r>
            <w:proofErr w:type="spellEnd"/>
            <w:r>
              <w:rPr>
                <w:sz w:val="20"/>
                <w:szCs w:val="20"/>
              </w:rPr>
              <w:t xml:space="preserve"> final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a minim 1 </w:t>
            </w:r>
            <w:proofErr w:type="spellStart"/>
            <w:r>
              <w:rPr>
                <w:sz w:val="20"/>
                <w:szCs w:val="20"/>
              </w:rPr>
              <w:t>studiu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caz</w:t>
            </w:r>
            <w:proofErr w:type="spellEnd"/>
          </w:p>
        </w:tc>
      </w:tr>
    </w:tbl>
    <w:p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E14EB6" w:rsidRPr="00617542" w:rsidRDefault="003D158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28.02.20</w:t>
      </w:r>
      <w:r w:rsidR="004C7C18">
        <w:rPr>
          <w:sz w:val="20"/>
          <w:szCs w:val="20"/>
        </w:rPr>
        <w:t>1</w:t>
      </w:r>
      <w:r>
        <w:rPr>
          <w:sz w:val="20"/>
          <w:szCs w:val="20"/>
        </w:rPr>
        <w:t>9</w:t>
      </w:r>
    </w:p>
    <w:p w:rsidR="00542E8B" w:rsidRPr="00617542" w:rsidRDefault="009C1C64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42E8B" w:rsidRPr="00617542" w:rsidRDefault="009C1C64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617542" w:rsidRDefault="009C1C64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9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845"/>
        <w:gridCol w:w="2410"/>
      </w:tblGrid>
      <w:tr w:rsidR="003D1586" w:rsidRPr="00617542" w:rsidTr="003D1586">
        <w:trPr>
          <w:trHeight w:val="300"/>
        </w:trPr>
        <w:tc>
          <w:tcPr>
            <w:tcW w:w="2447" w:type="dxa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643" w:type="dxa"/>
            <w:gridSpan w:val="2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0" w:type="dxa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</w:tr>
      <w:tr w:rsidR="003D1586" w:rsidRPr="00617542" w:rsidTr="003D1586">
        <w:trPr>
          <w:trHeight w:val="263"/>
        </w:trPr>
        <w:tc>
          <w:tcPr>
            <w:tcW w:w="2447" w:type="dxa"/>
            <w:vMerge w:val="restart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10.4 Curs</w:t>
            </w:r>
          </w:p>
        </w:tc>
        <w:tc>
          <w:tcPr>
            <w:tcW w:w="2418" w:type="dxa"/>
            <w:vMerge w:val="restart"/>
          </w:tcPr>
          <w:p w:rsidR="003D1586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Proiect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D1586" w:rsidRPr="00617542" w:rsidRDefault="003D1586" w:rsidP="003D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 w:val="restart"/>
          </w:tcPr>
          <w:p w:rsidR="003D1586" w:rsidRPr="003D1586" w:rsidRDefault="003D1586" w:rsidP="003D1586">
            <w:pPr>
              <w:tabs>
                <w:tab w:val="left" w:pos="507"/>
              </w:tabs>
              <w:rPr>
                <w:sz w:val="20"/>
                <w:szCs w:val="20"/>
              </w:rPr>
            </w:pPr>
            <w:proofErr w:type="spellStart"/>
            <w:r w:rsidRPr="003D1586">
              <w:rPr>
                <w:sz w:val="20"/>
                <w:szCs w:val="20"/>
              </w:rPr>
              <w:t>Proiect</w:t>
            </w:r>
            <w:proofErr w:type="spellEnd"/>
            <w:r w:rsidRPr="003D1586">
              <w:rPr>
                <w:sz w:val="20"/>
                <w:szCs w:val="20"/>
              </w:rPr>
              <w:t xml:space="preserve"> de </w:t>
            </w:r>
            <w:proofErr w:type="spellStart"/>
            <w:r w:rsidRPr="003D1586">
              <w:rPr>
                <w:sz w:val="20"/>
                <w:szCs w:val="20"/>
              </w:rPr>
              <w:t>cercetare</w:t>
            </w:r>
            <w:proofErr w:type="spellEnd"/>
            <w:r w:rsidRPr="003D1586">
              <w:rPr>
                <w:sz w:val="20"/>
                <w:szCs w:val="20"/>
              </w:rPr>
              <w:t xml:space="preserve"> original (</w:t>
            </w:r>
            <w:proofErr w:type="spellStart"/>
            <w:r w:rsidRPr="003D1586">
              <w:rPr>
                <w:sz w:val="20"/>
                <w:szCs w:val="20"/>
              </w:rPr>
              <w:t>folosind</w:t>
            </w:r>
            <w:proofErr w:type="spellEnd"/>
            <w:r w:rsidRPr="003D1586">
              <w:rPr>
                <w:sz w:val="20"/>
                <w:szCs w:val="20"/>
              </w:rPr>
              <w:t xml:space="preserve"> date </w:t>
            </w:r>
            <w:proofErr w:type="spellStart"/>
            <w:r w:rsidRPr="003D1586">
              <w:rPr>
                <w:sz w:val="20"/>
                <w:szCs w:val="20"/>
              </w:rPr>
              <w:t>primare</w:t>
            </w:r>
            <w:proofErr w:type="spellEnd"/>
            <w:r w:rsidRPr="003D1586">
              <w:rPr>
                <w:sz w:val="20"/>
                <w:szCs w:val="20"/>
              </w:rPr>
              <w:t xml:space="preserve"> </w:t>
            </w:r>
            <w:proofErr w:type="spellStart"/>
            <w:r w:rsidRPr="003D1586">
              <w:rPr>
                <w:sz w:val="20"/>
                <w:szCs w:val="20"/>
              </w:rPr>
              <w:t>sau</w:t>
            </w:r>
            <w:proofErr w:type="spellEnd"/>
            <w:r w:rsidRPr="003D1586">
              <w:rPr>
                <w:sz w:val="20"/>
                <w:szCs w:val="20"/>
              </w:rPr>
              <w:t xml:space="preserve"> </w:t>
            </w:r>
            <w:proofErr w:type="spellStart"/>
            <w:r w:rsidRPr="003D1586">
              <w:rPr>
                <w:sz w:val="20"/>
                <w:szCs w:val="20"/>
              </w:rPr>
              <w:t>secundare</w:t>
            </w:r>
            <w:proofErr w:type="spellEnd"/>
            <w:r w:rsidRPr="003D1586">
              <w:rPr>
                <w:sz w:val="20"/>
                <w:szCs w:val="20"/>
              </w:rPr>
              <w:t xml:space="preserve">) </w:t>
            </w:r>
            <w:proofErr w:type="spellStart"/>
            <w:r w:rsidRPr="003D1586">
              <w:rPr>
                <w:sz w:val="20"/>
                <w:szCs w:val="20"/>
              </w:rPr>
              <w:t>pe</w:t>
            </w:r>
            <w:proofErr w:type="spellEnd"/>
            <w:r w:rsidRPr="003D1586">
              <w:rPr>
                <w:sz w:val="20"/>
                <w:szCs w:val="20"/>
              </w:rPr>
              <w:t xml:space="preserve"> </w:t>
            </w:r>
            <w:proofErr w:type="spellStart"/>
            <w:r w:rsidRPr="003D1586">
              <w:rPr>
                <w:sz w:val="20"/>
                <w:szCs w:val="20"/>
              </w:rPr>
              <w:t>una</w:t>
            </w:r>
            <w:proofErr w:type="spellEnd"/>
            <w:r w:rsidRPr="003D1586">
              <w:rPr>
                <w:sz w:val="20"/>
                <w:szCs w:val="20"/>
              </w:rPr>
              <w:t xml:space="preserve"> din </w:t>
            </w:r>
            <w:proofErr w:type="spellStart"/>
            <w:r w:rsidRPr="003D1586">
              <w:rPr>
                <w:sz w:val="20"/>
                <w:szCs w:val="20"/>
              </w:rPr>
              <w:t>temele</w:t>
            </w:r>
            <w:proofErr w:type="spellEnd"/>
            <w:r w:rsidRPr="003D1586">
              <w:rPr>
                <w:sz w:val="20"/>
                <w:szCs w:val="20"/>
              </w:rPr>
              <w:t xml:space="preserve"> </w:t>
            </w:r>
            <w:proofErr w:type="spellStart"/>
            <w:r w:rsidRPr="003D1586">
              <w:rPr>
                <w:sz w:val="20"/>
                <w:szCs w:val="20"/>
              </w:rPr>
              <w:t>explorate</w:t>
            </w:r>
            <w:proofErr w:type="spellEnd"/>
            <w:r w:rsidRPr="003D1586">
              <w:rPr>
                <w:sz w:val="20"/>
                <w:szCs w:val="20"/>
              </w:rPr>
              <w:t xml:space="preserve"> la curs.</w:t>
            </w:r>
          </w:p>
        </w:tc>
        <w:tc>
          <w:tcPr>
            <w:tcW w:w="2410" w:type="dxa"/>
            <w:vMerge w:val="restart"/>
          </w:tcPr>
          <w:p w:rsidR="003D1586" w:rsidRPr="00617542" w:rsidRDefault="003F47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3F473B" w:rsidRPr="00617542" w:rsidTr="003D1586">
        <w:trPr>
          <w:trHeight w:val="263"/>
        </w:trPr>
        <w:tc>
          <w:tcPr>
            <w:tcW w:w="2447" w:type="dxa"/>
            <w:vMerge/>
          </w:tcPr>
          <w:p w:rsidR="003F473B" w:rsidRPr="00617542" w:rsidRDefault="003F47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3F473B" w:rsidRDefault="003F47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</w:tcPr>
          <w:p w:rsidR="003F473B" w:rsidRPr="003D1586" w:rsidRDefault="003F473B" w:rsidP="003D1586">
            <w:pPr>
              <w:tabs>
                <w:tab w:val="left" w:pos="507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473B" w:rsidRDefault="003F47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</w:tc>
      </w:tr>
      <w:tr w:rsidR="003D1586" w:rsidRPr="00617542" w:rsidTr="003D1586">
        <w:trPr>
          <w:trHeight w:val="263"/>
        </w:trPr>
        <w:tc>
          <w:tcPr>
            <w:tcW w:w="2447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</w:tr>
      <w:tr w:rsidR="003D1586" w:rsidRPr="00617542" w:rsidTr="003D1586">
        <w:trPr>
          <w:trHeight w:val="244"/>
        </w:trPr>
        <w:tc>
          <w:tcPr>
            <w:tcW w:w="2447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</w:tr>
      <w:tr w:rsidR="003F473B" w:rsidRPr="00617542" w:rsidTr="003D1586">
        <w:trPr>
          <w:trHeight w:val="263"/>
        </w:trPr>
        <w:tc>
          <w:tcPr>
            <w:tcW w:w="2447" w:type="dxa"/>
            <w:vAlign w:val="bottom"/>
          </w:tcPr>
          <w:p w:rsidR="003F473B" w:rsidRPr="00617542" w:rsidRDefault="003F47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18" w:type="dxa"/>
            <w:vAlign w:val="bottom"/>
          </w:tcPr>
          <w:p w:rsidR="003F473B" w:rsidRPr="00617542" w:rsidRDefault="003F47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Studiu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2643" w:type="dxa"/>
            <w:gridSpan w:val="2"/>
          </w:tcPr>
          <w:p w:rsidR="003F473B" w:rsidRPr="00617542" w:rsidRDefault="003F473B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Studiu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descriptiv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folosing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exemplele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propuse</w:t>
            </w:r>
            <w:proofErr w:type="spellEnd"/>
            <w:r>
              <w:rPr>
                <w:sz w:val="20"/>
                <w:szCs w:val="20"/>
              </w:rPr>
              <w:t xml:space="preserve"> la curs</w:t>
            </w:r>
          </w:p>
        </w:tc>
        <w:tc>
          <w:tcPr>
            <w:tcW w:w="2410" w:type="dxa"/>
            <w:vAlign w:val="bottom"/>
          </w:tcPr>
          <w:p w:rsidR="003F473B" w:rsidRPr="00617542" w:rsidRDefault="003F47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3D1586" w:rsidRPr="00617542" w:rsidTr="003D1586">
        <w:trPr>
          <w:trHeight w:val="263"/>
        </w:trPr>
        <w:tc>
          <w:tcPr>
            <w:tcW w:w="2447" w:type="dxa"/>
            <w:vMerge w:val="restart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 w:val="restart"/>
          </w:tcPr>
          <w:p w:rsidR="003D1586" w:rsidRPr="00617542" w:rsidRDefault="003D158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</w:tr>
      <w:tr w:rsidR="003D1586" w:rsidRPr="00617542" w:rsidTr="003D1586">
        <w:trPr>
          <w:trHeight w:val="244"/>
        </w:trPr>
        <w:tc>
          <w:tcPr>
            <w:tcW w:w="2447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</w:tr>
      <w:tr w:rsidR="003D1586" w:rsidRPr="00617542" w:rsidTr="003D1586">
        <w:trPr>
          <w:trHeight w:val="244"/>
        </w:trPr>
        <w:tc>
          <w:tcPr>
            <w:tcW w:w="2447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1586" w:rsidRPr="00617542" w:rsidTr="003D1586">
        <w:trPr>
          <w:trHeight w:val="263"/>
        </w:trPr>
        <w:tc>
          <w:tcPr>
            <w:tcW w:w="9918" w:type="dxa"/>
            <w:gridSpan w:val="5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</w:tr>
      <w:tr w:rsidR="003D1586" w:rsidRPr="00617542" w:rsidTr="003D1586">
        <w:trPr>
          <w:trHeight w:val="266"/>
        </w:trPr>
        <w:tc>
          <w:tcPr>
            <w:tcW w:w="9918" w:type="dxa"/>
            <w:gridSpan w:val="5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</w:tr>
      <w:tr w:rsidR="003D1586" w:rsidRPr="00617542" w:rsidTr="003D1586">
        <w:trPr>
          <w:trHeight w:val="226"/>
        </w:trPr>
        <w:tc>
          <w:tcPr>
            <w:tcW w:w="2447" w:type="dxa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255" w:type="dxa"/>
            <w:gridSpan w:val="2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</w:tr>
      <w:tr w:rsidR="003D1586" w:rsidRPr="00617542" w:rsidTr="003D1586">
        <w:trPr>
          <w:trHeight w:val="442"/>
        </w:trPr>
        <w:tc>
          <w:tcPr>
            <w:tcW w:w="2447" w:type="dxa"/>
            <w:vAlign w:val="bottom"/>
          </w:tcPr>
          <w:p w:rsidR="003D1586" w:rsidRPr="00617542" w:rsidRDefault="003F47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28.02.2019</w:t>
            </w:r>
          </w:p>
        </w:tc>
        <w:tc>
          <w:tcPr>
            <w:tcW w:w="4216" w:type="dxa"/>
            <w:gridSpan w:val="2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255" w:type="dxa"/>
            <w:gridSpan w:val="2"/>
            <w:vAlign w:val="bottom"/>
          </w:tcPr>
          <w:p w:rsidR="003D1586" w:rsidRPr="00617542" w:rsidRDefault="003D158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</w:tr>
    </w:tbl>
    <w:p w:rsidR="00542E8B" w:rsidRPr="00617542" w:rsidRDefault="009C1C64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65pt;width:1.05pt;height:1.05pt;z-index:-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641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617542" w:rsidRDefault="009C1C64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pPr w:leftFromText="180" w:rightFromText="180" w:vertAnchor="text" w:tblpY="1"/>
        <w:tblOverlap w:val="never"/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1030"/>
        <w:gridCol w:w="2126"/>
      </w:tblGrid>
      <w:tr w:rsidR="003F473B" w:rsidRPr="00617542" w:rsidTr="003F473B">
        <w:trPr>
          <w:trHeight w:val="303"/>
        </w:trPr>
        <w:tc>
          <w:tcPr>
            <w:tcW w:w="2445" w:type="dxa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790" w:type="dxa"/>
            <w:gridSpan w:val="2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126" w:type="dxa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</w:tr>
      <w:tr w:rsidR="003F473B" w:rsidRPr="00617542" w:rsidTr="003F473B">
        <w:trPr>
          <w:trHeight w:val="261"/>
        </w:trPr>
        <w:tc>
          <w:tcPr>
            <w:tcW w:w="2445" w:type="dxa"/>
            <w:vMerge w:val="restart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Proiect</w:t>
            </w:r>
            <w:proofErr w:type="spellEnd"/>
          </w:p>
        </w:tc>
        <w:tc>
          <w:tcPr>
            <w:tcW w:w="2790" w:type="dxa"/>
            <w:gridSpan w:val="2"/>
            <w:vMerge w:val="restart"/>
          </w:tcPr>
          <w:p w:rsidR="003F473B" w:rsidRPr="00617542" w:rsidRDefault="003F473B" w:rsidP="003F473B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3D1586">
              <w:rPr>
                <w:sz w:val="20"/>
                <w:szCs w:val="20"/>
              </w:rPr>
              <w:t>Proiect</w:t>
            </w:r>
            <w:proofErr w:type="spellEnd"/>
            <w:r w:rsidRPr="003D1586">
              <w:rPr>
                <w:sz w:val="20"/>
                <w:szCs w:val="20"/>
              </w:rPr>
              <w:t xml:space="preserve"> de </w:t>
            </w:r>
            <w:proofErr w:type="spellStart"/>
            <w:r w:rsidRPr="003D1586">
              <w:rPr>
                <w:sz w:val="20"/>
                <w:szCs w:val="20"/>
              </w:rPr>
              <w:t>cercetare</w:t>
            </w:r>
            <w:proofErr w:type="spellEnd"/>
            <w:r w:rsidRPr="003D1586">
              <w:rPr>
                <w:sz w:val="20"/>
                <w:szCs w:val="20"/>
              </w:rPr>
              <w:t xml:space="preserve"> original (</w:t>
            </w:r>
            <w:proofErr w:type="spellStart"/>
            <w:r w:rsidRPr="003D1586">
              <w:rPr>
                <w:sz w:val="20"/>
                <w:szCs w:val="20"/>
              </w:rPr>
              <w:t>folosind</w:t>
            </w:r>
            <w:proofErr w:type="spellEnd"/>
            <w:r w:rsidRPr="003D1586">
              <w:rPr>
                <w:sz w:val="20"/>
                <w:szCs w:val="20"/>
              </w:rPr>
              <w:t xml:space="preserve"> date </w:t>
            </w:r>
            <w:proofErr w:type="spellStart"/>
            <w:r w:rsidRPr="003D1586">
              <w:rPr>
                <w:sz w:val="20"/>
                <w:szCs w:val="20"/>
              </w:rPr>
              <w:t>primare</w:t>
            </w:r>
            <w:proofErr w:type="spellEnd"/>
            <w:r w:rsidRPr="003D1586">
              <w:rPr>
                <w:sz w:val="20"/>
                <w:szCs w:val="20"/>
              </w:rPr>
              <w:t xml:space="preserve"> </w:t>
            </w:r>
            <w:proofErr w:type="spellStart"/>
            <w:r w:rsidRPr="003D1586">
              <w:rPr>
                <w:sz w:val="20"/>
                <w:szCs w:val="20"/>
              </w:rPr>
              <w:t>sau</w:t>
            </w:r>
            <w:proofErr w:type="spellEnd"/>
            <w:r w:rsidRPr="003D1586">
              <w:rPr>
                <w:sz w:val="20"/>
                <w:szCs w:val="20"/>
              </w:rPr>
              <w:t xml:space="preserve"> </w:t>
            </w:r>
            <w:proofErr w:type="spellStart"/>
            <w:r w:rsidRPr="003D1586">
              <w:rPr>
                <w:sz w:val="20"/>
                <w:szCs w:val="20"/>
              </w:rPr>
              <w:t>secundare</w:t>
            </w:r>
            <w:proofErr w:type="spellEnd"/>
            <w:r w:rsidRPr="003D1586">
              <w:rPr>
                <w:sz w:val="20"/>
                <w:szCs w:val="20"/>
              </w:rPr>
              <w:t xml:space="preserve">) </w:t>
            </w:r>
            <w:proofErr w:type="spellStart"/>
            <w:r w:rsidRPr="003D1586">
              <w:rPr>
                <w:sz w:val="20"/>
                <w:szCs w:val="20"/>
              </w:rPr>
              <w:t>pe</w:t>
            </w:r>
            <w:proofErr w:type="spellEnd"/>
            <w:r w:rsidRPr="003D1586">
              <w:rPr>
                <w:sz w:val="20"/>
                <w:szCs w:val="20"/>
              </w:rPr>
              <w:t xml:space="preserve"> </w:t>
            </w:r>
            <w:proofErr w:type="spellStart"/>
            <w:r w:rsidRPr="003D1586">
              <w:rPr>
                <w:sz w:val="20"/>
                <w:szCs w:val="20"/>
              </w:rPr>
              <w:t>una</w:t>
            </w:r>
            <w:proofErr w:type="spellEnd"/>
            <w:r w:rsidRPr="003D1586">
              <w:rPr>
                <w:sz w:val="20"/>
                <w:szCs w:val="20"/>
              </w:rPr>
              <w:t xml:space="preserve"> din </w:t>
            </w:r>
            <w:proofErr w:type="spellStart"/>
            <w:r w:rsidRPr="003D1586">
              <w:rPr>
                <w:sz w:val="20"/>
                <w:szCs w:val="20"/>
              </w:rPr>
              <w:t>temele</w:t>
            </w:r>
            <w:proofErr w:type="spellEnd"/>
            <w:r w:rsidRPr="003D1586">
              <w:rPr>
                <w:sz w:val="20"/>
                <w:szCs w:val="20"/>
              </w:rPr>
              <w:t xml:space="preserve"> </w:t>
            </w:r>
            <w:proofErr w:type="spellStart"/>
            <w:r w:rsidRPr="003D1586">
              <w:rPr>
                <w:sz w:val="20"/>
                <w:szCs w:val="20"/>
              </w:rPr>
              <w:t>explorate</w:t>
            </w:r>
            <w:proofErr w:type="spellEnd"/>
            <w:r w:rsidRPr="003D1586">
              <w:rPr>
                <w:sz w:val="20"/>
                <w:szCs w:val="20"/>
              </w:rPr>
              <w:t xml:space="preserve"> la curs.</w:t>
            </w:r>
          </w:p>
        </w:tc>
        <w:tc>
          <w:tcPr>
            <w:tcW w:w="2126" w:type="dxa"/>
            <w:vMerge w:val="restart"/>
          </w:tcPr>
          <w:p w:rsidR="003F473B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  <w:p w:rsidR="003F473B" w:rsidRPr="003F473B" w:rsidRDefault="003F473B" w:rsidP="003F473B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3F473B" w:rsidRPr="00617542" w:rsidTr="003F473B">
        <w:trPr>
          <w:trHeight w:val="264"/>
        </w:trPr>
        <w:tc>
          <w:tcPr>
            <w:tcW w:w="2445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</w:tr>
      <w:tr w:rsidR="003F473B" w:rsidRPr="00617542" w:rsidTr="003F473B">
        <w:trPr>
          <w:trHeight w:val="244"/>
        </w:trPr>
        <w:tc>
          <w:tcPr>
            <w:tcW w:w="2445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</w:tr>
      <w:tr w:rsidR="003F473B" w:rsidRPr="00617542" w:rsidTr="003F473B">
        <w:trPr>
          <w:trHeight w:val="268"/>
        </w:trPr>
        <w:tc>
          <w:tcPr>
            <w:tcW w:w="2445" w:type="dxa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Studiu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2790" w:type="dxa"/>
            <w:gridSpan w:val="2"/>
          </w:tcPr>
          <w:p w:rsidR="003F473B" w:rsidRPr="00617542" w:rsidRDefault="003F473B" w:rsidP="003F473B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Studiu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descriptiv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folosing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exemplele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propuse</w:t>
            </w:r>
            <w:proofErr w:type="spellEnd"/>
            <w:r>
              <w:rPr>
                <w:sz w:val="20"/>
                <w:szCs w:val="20"/>
              </w:rPr>
              <w:t xml:space="preserve"> la curs</w:t>
            </w:r>
          </w:p>
        </w:tc>
        <w:tc>
          <w:tcPr>
            <w:tcW w:w="2126" w:type="dxa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3F473B" w:rsidRPr="00617542" w:rsidTr="003F473B">
        <w:trPr>
          <w:trHeight w:val="268"/>
        </w:trPr>
        <w:tc>
          <w:tcPr>
            <w:tcW w:w="2445" w:type="dxa"/>
            <w:vMerge w:val="restart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3F473B" w:rsidRPr="00617542" w:rsidRDefault="003F473B" w:rsidP="003F473B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</w:tr>
      <w:tr w:rsidR="003F473B" w:rsidRPr="00617542" w:rsidTr="003F473B">
        <w:trPr>
          <w:trHeight w:val="244"/>
        </w:trPr>
        <w:tc>
          <w:tcPr>
            <w:tcW w:w="2445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</w:tr>
      <w:tr w:rsidR="003F473B" w:rsidRPr="00617542" w:rsidTr="003F473B">
        <w:trPr>
          <w:trHeight w:val="244"/>
        </w:trPr>
        <w:tc>
          <w:tcPr>
            <w:tcW w:w="2445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473B" w:rsidRPr="00617542" w:rsidTr="003F473B">
        <w:trPr>
          <w:trHeight w:val="263"/>
        </w:trPr>
        <w:tc>
          <w:tcPr>
            <w:tcW w:w="9781" w:type="dxa"/>
            <w:gridSpan w:val="5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</w:tr>
      <w:tr w:rsidR="003F473B" w:rsidRPr="00617542" w:rsidTr="003F473B">
        <w:trPr>
          <w:trHeight w:val="266"/>
        </w:trPr>
        <w:tc>
          <w:tcPr>
            <w:tcW w:w="9781" w:type="dxa"/>
            <w:gridSpan w:val="5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</w:tr>
      <w:tr w:rsidR="003F473B" w:rsidRPr="00617542" w:rsidTr="003F473B">
        <w:trPr>
          <w:trHeight w:val="228"/>
        </w:trPr>
        <w:tc>
          <w:tcPr>
            <w:tcW w:w="2445" w:type="dxa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156" w:type="dxa"/>
            <w:gridSpan w:val="2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</w:tr>
      <w:tr w:rsidR="003F473B" w:rsidRPr="00617542" w:rsidTr="003F473B">
        <w:trPr>
          <w:trHeight w:val="599"/>
        </w:trPr>
        <w:tc>
          <w:tcPr>
            <w:tcW w:w="2445" w:type="dxa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28.02.2019</w:t>
            </w:r>
          </w:p>
        </w:tc>
        <w:tc>
          <w:tcPr>
            <w:tcW w:w="4180" w:type="dxa"/>
            <w:gridSpan w:val="2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156" w:type="dxa"/>
            <w:gridSpan w:val="2"/>
            <w:vAlign w:val="bottom"/>
          </w:tcPr>
          <w:p w:rsidR="003F473B" w:rsidRPr="00617542" w:rsidRDefault="003F473B" w:rsidP="003F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</w:tr>
    </w:tbl>
    <w:p w:rsidR="00542E8B" w:rsidRPr="00617542" w:rsidRDefault="003F473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br w:type="textWrapping" w:clear="all"/>
      </w:r>
      <w:r w:rsidR="009C1C64"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6357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 w:rsidR="009C1C64"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6346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 w:rsidR="009C1C64"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633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 w:rsidR="009C1C64"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 w:rsidR="009C1C64"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 w:rsidR="009C1C64"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 w:rsidR="009C1C64"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 w:rsidR="009C1C64"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628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 w:rsidR="009C1C64"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 w:rsidR="009C1C64"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 w:rsidR="009C1C64"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 w:rsidR="009C1C64"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6244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 w:rsidR="009C1C64"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623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 w:rsidR="009C1C64"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6224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7138E"/>
    <w:multiLevelType w:val="multilevel"/>
    <w:tmpl w:val="E6340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C4574A5"/>
    <w:multiLevelType w:val="hybridMultilevel"/>
    <w:tmpl w:val="D5CEE7C6"/>
    <w:lvl w:ilvl="0" w:tplc="DB32B7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03077"/>
    <w:multiLevelType w:val="hybridMultilevel"/>
    <w:tmpl w:val="3EC2ECD2"/>
    <w:lvl w:ilvl="0" w:tplc="247C06E8">
      <w:numFmt w:val="bullet"/>
      <w:lvlText w:val="-"/>
      <w:lvlJc w:val="left"/>
      <w:pPr>
        <w:ind w:left="720" w:hanging="360"/>
      </w:pPr>
      <w:rPr>
        <w:rFonts w:ascii="Calibri" w:eastAsiaTheme="minorHAnsi" w:hAnsi="Calibri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67130FDA"/>
    <w:multiLevelType w:val="multilevel"/>
    <w:tmpl w:val="E848D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2"/>
  </w:num>
  <w:num w:numId="6">
    <w:abstractNumId w:val="6"/>
  </w:num>
  <w:num w:numId="7">
    <w:abstractNumId w:val="19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16"/>
  </w:num>
  <w:num w:numId="13">
    <w:abstractNumId w:val="22"/>
  </w:num>
  <w:num w:numId="14">
    <w:abstractNumId w:val="8"/>
  </w:num>
  <w:num w:numId="15">
    <w:abstractNumId w:val="12"/>
  </w:num>
  <w:num w:numId="16">
    <w:abstractNumId w:val="13"/>
  </w:num>
  <w:num w:numId="17">
    <w:abstractNumId w:val="7"/>
  </w:num>
  <w:num w:numId="18">
    <w:abstractNumId w:val="11"/>
  </w:num>
  <w:num w:numId="19">
    <w:abstractNumId w:val="5"/>
  </w:num>
  <w:num w:numId="20">
    <w:abstractNumId w:val="21"/>
  </w:num>
  <w:num w:numId="21">
    <w:abstractNumId w:val="9"/>
  </w:num>
  <w:num w:numId="22">
    <w:abstractNumId w:val="1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351EC"/>
    <w:rsid w:val="00042C3F"/>
    <w:rsid w:val="000C2846"/>
    <w:rsid w:val="000E58F1"/>
    <w:rsid w:val="001040E1"/>
    <w:rsid w:val="00113B1E"/>
    <w:rsid w:val="001F4184"/>
    <w:rsid w:val="00210BCF"/>
    <w:rsid w:val="00282F9E"/>
    <w:rsid w:val="002E6457"/>
    <w:rsid w:val="0036750D"/>
    <w:rsid w:val="00385BBC"/>
    <w:rsid w:val="003D1586"/>
    <w:rsid w:val="003F473B"/>
    <w:rsid w:val="00431FFD"/>
    <w:rsid w:val="004B1378"/>
    <w:rsid w:val="004C7C18"/>
    <w:rsid w:val="004F2030"/>
    <w:rsid w:val="00542E8B"/>
    <w:rsid w:val="00617542"/>
    <w:rsid w:val="00626EC0"/>
    <w:rsid w:val="0064650F"/>
    <w:rsid w:val="006D7100"/>
    <w:rsid w:val="00704155"/>
    <w:rsid w:val="00711AD2"/>
    <w:rsid w:val="007466F4"/>
    <w:rsid w:val="00750D28"/>
    <w:rsid w:val="0078061A"/>
    <w:rsid w:val="007852FE"/>
    <w:rsid w:val="0079762E"/>
    <w:rsid w:val="007B5AB2"/>
    <w:rsid w:val="007E60B2"/>
    <w:rsid w:val="00800E02"/>
    <w:rsid w:val="00821576"/>
    <w:rsid w:val="008930EE"/>
    <w:rsid w:val="00915C46"/>
    <w:rsid w:val="00996693"/>
    <w:rsid w:val="009A62CD"/>
    <w:rsid w:val="009C1C64"/>
    <w:rsid w:val="00A056A7"/>
    <w:rsid w:val="00C331C5"/>
    <w:rsid w:val="00C550A3"/>
    <w:rsid w:val="00C90882"/>
    <w:rsid w:val="00C97639"/>
    <w:rsid w:val="00D61BF2"/>
    <w:rsid w:val="00D63626"/>
    <w:rsid w:val="00D85646"/>
    <w:rsid w:val="00E14EB6"/>
    <w:rsid w:val="00E77EF5"/>
    <w:rsid w:val="00EC3344"/>
    <w:rsid w:val="00ED5600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rsid w:val="006D7100"/>
    <w:pPr>
      <w:spacing w:beforeLines="1" w:afterLines="1" w:line="240" w:lineRule="auto"/>
      <w:outlineLvl w:val="0"/>
    </w:pPr>
    <w:rPr>
      <w:rFonts w:ascii="Times" w:eastAsiaTheme="minorHAnsi" w:hAnsi="Times" w:cstheme="minorBidi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customStyle="1" w:styleId="publication-meta-journal">
    <w:name w:val="publication-meta-journal"/>
    <w:basedOn w:val="DefaultParagraphFont"/>
    <w:rsid w:val="006D7100"/>
  </w:style>
  <w:style w:type="paragraph" w:customStyle="1" w:styleId="Default">
    <w:name w:val="Default"/>
    <w:rsid w:val="006D7100"/>
    <w:pPr>
      <w:widowControl w:val="0"/>
      <w:autoSpaceDE w:val="0"/>
      <w:autoSpaceDN w:val="0"/>
      <w:adjustRightInd w:val="0"/>
    </w:pPr>
    <w:rPr>
      <w:rFonts w:ascii="Code" w:eastAsiaTheme="minorEastAsia" w:hAnsi="Code" w:cs="Code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D7100"/>
    <w:rPr>
      <w:rFonts w:ascii="Times" w:eastAsiaTheme="minorHAnsi" w:hAnsi="Times" w:cstheme="minorBidi"/>
      <w:b/>
      <w:kern w:val="36"/>
      <w:sz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rsid w:val="006D7100"/>
    <w:pPr>
      <w:spacing w:beforeLines="1" w:afterLines="1" w:after="0" w:line="240" w:lineRule="auto"/>
      <w:outlineLvl w:val="0"/>
    </w:pPr>
    <w:rPr>
      <w:rFonts w:ascii="Times" w:eastAsiaTheme="minorHAnsi" w:hAnsi="Times" w:cstheme="minorBidi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customStyle="1" w:styleId="publication-meta-journal">
    <w:name w:val="publication-meta-journal"/>
    <w:basedOn w:val="DefaultParagraphFont"/>
    <w:rsid w:val="006D7100"/>
  </w:style>
  <w:style w:type="paragraph" w:customStyle="1" w:styleId="Default">
    <w:name w:val="Default"/>
    <w:rsid w:val="006D7100"/>
    <w:pPr>
      <w:widowControl w:val="0"/>
      <w:autoSpaceDE w:val="0"/>
      <w:autoSpaceDN w:val="0"/>
      <w:adjustRightInd w:val="0"/>
    </w:pPr>
    <w:rPr>
      <w:rFonts w:ascii="Code" w:eastAsiaTheme="minorEastAsia" w:hAnsi="Code" w:cs="Code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D7100"/>
    <w:rPr>
      <w:rFonts w:ascii="Times" w:eastAsiaTheme="minorHAnsi" w:hAnsi="Times" w:cstheme="minorBidi"/>
      <w:b/>
      <w:kern w:val="36"/>
      <w:sz w:val="4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2058</Words>
  <Characters>11731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4</cp:revision>
  <dcterms:created xsi:type="dcterms:W3CDTF">2019-03-01T17:49:00Z</dcterms:created>
  <dcterms:modified xsi:type="dcterms:W3CDTF">2019-03-05T23:03:00Z</dcterms:modified>
</cp:coreProperties>
</file>